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>7-1-7 A</w:t>
      </w:r>
      <w:r w:rsidR="3D1DA131">
        <w:t>ssessment Tool</w:t>
      </w:r>
      <w:r>
        <w:br/>
      </w:r>
      <w:r w:rsidRPr="3BD944DB">
        <w:rPr>
          <w:sz w:val="24"/>
          <w:szCs w:val="24"/>
        </w:rPr>
        <w:t>Rapid performance improvement for outbreak detection and response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hAnsi="Arial" w:cs="Arial"/>
          <w:sz w:val="20"/>
          <w:szCs w:val="20"/>
        </w:rPr>
        <w:t>F</w:t>
      </w:r>
      <w:r w:rsidR="00305E24" w:rsidRPr="00143E38">
        <w:rPr>
          <w:rFonts w:ascii="Arial" w:hAnsi="Arial" w:cs="Arial"/>
          <w:sz w:val="20"/>
          <w:szCs w:val="20"/>
        </w:rPr>
        <w:t>or a</w:t>
      </w:r>
      <w:r w:rsidR="005A73D1" w:rsidRPr="00143E38">
        <w:rPr>
          <w:rFonts w:ascii="Arial" w:hAnsi="Arial" w:cs="Arial"/>
          <w:sz w:val="20"/>
          <w:szCs w:val="20"/>
        </w:rPr>
        <w:t xml:space="preserve"> disease </w:t>
      </w:r>
      <w:r w:rsidR="00305E24" w:rsidRPr="00143E38">
        <w:rPr>
          <w:rFonts w:ascii="Arial" w:hAnsi="Arial" w:cs="Arial"/>
          <w:sz w:val="20"/>
          <w:szCs w:val="20"/>
        </w:rPr>
        <w:t>outbreak event, u</w:t>
      </w:r>
      <w:r w:rsidR="005F707D" w:rsidRPr="00143E38">
        <w:rPr>
          <w:rFonts w:ascii="Arial" w:hAnsi="Arial" w:cs="Arial"/>
          <w:sz w:val="20"/>
          <w:szCs w:val="20"/>
        </w:rPr>
        <w:t>se this tool to</w:t>
      </w:r>
      <w:r w:rsidR="001E6E03" w:rsidRPr="00143E38">
        <w:rPr>
          <w:rFonts w:ascii="Arial" w:hAnsi="Arial" w:cs="Arial"/>
          <w:sz w:val="20"/>
          <w:szCs w:val="20"/>
        </w:rPr>
        <w:t>:</w:t>
      </w:r>
    </w:p>
    <w:p w14:paraId="25268AF5" w14:textId="59AB2A0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record key 7-1-7 milestone dates</w:t>
      </w:r>
      <w:r w:rsidR="00AF33F2" w:rsidRPr="004F101D">
        <w:rPr>
          <w:rFonts w:ascii="Arial" w:hAnsi="Arial" w:cs="Arial"/>
          <w:sz w:val="20"/>
          <w:szCs w:val="20"/>
        </w:rPr>
        <w:t xml:space="preserve"> for </w:t>
      </w:r>
      <w:r w:rsidR="00305E24" w:rsidRPr="004F101D">
        <w:rPr>
          <w:rFonts w:ascii="Arial" w:hAnsi="Arial" w:cs="Arial"/>
          <w:sz w:val="20"/>
          <w:szCs w:val="20"/>
        </w:rPr>
        <w:t xml:space="preserve">the </w:t>
      </w:r>
      <w:r w:rsidR="00AF33F2" w:rsidRPr="004F101D">
        <w:rPr>
          <w:rFonts w:ascii="Arial" w:hAnsi="Arial" w:cs="Arial"/>
          <w:sz w:val="20"/>
          <w:szCs w:val="20"/>
        </w:rPr>
        <w:t xml:space="preserve">detection, notification, and </w:t>
      </w:r>
      <w:r w:rsidR="005A73D1" w:rsidRPr="004F101D">
        <w:rPr>
          <w:rFonts w:ascii="Arial" w:hAnsi="Arial" w:cs="Arial"/>
          <w:sz w:val="20"/>
          <w:szCs w:val="20"/>
        </w:rPr>
        <w:t xml:space="preserve">early </w:t>
      </w:r>
      <w:r w:rsidR="00AF33F2" w:rsidRPr="004F101D">
        <w:rPr>
          <w:rFonts w:ascii="Arial" w:hAnsi="Arial" w:cs="Arial"/>
          <w:sz w:val="20"/>
          <w:szCs w:val="20"/>
        </w:rPr>
        <w:t>response</w:t>
      </w:r>
      <w:r w:rsidR="00305E24" w:rsidRPr="004F101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intervals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 xml:space="preserve">calculate performance against the 7-1-7 </w:t>
      </w:r>
      <w:proofErr w:type="gramStart"/>
      <w:r w:rsidRPr="004F101D">
        <w:rPr>
          <w:rFonts w:ascii="Arial" w:hAnsi="Arial" w:cs="Arial"/>
          <w:sz w:val="20"/>
          <w:szCs w:val="20"/>
        </w:rPr>
        <w:t>target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identify bottlenecks and enablers</w:t>
      </w:r>
      <w:r w:rsidR="00305E24" w:rsidRPr="004F101D">
        <w:rPr>
          <w:rFonts w:ascii="Arial" w:hAnsi="Arial" w:cs="Arial"/>
          <w:sz w:val="20"/>
          <w:szCs w:val="20"/>
        </w:rPr>
        <w:t xml:space="preserve"> for each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 w:rsidRPr="004F101D">
        <w:rPr>
          <w:rFonts w:ascii="Arial" w:hAnsi="Arial" w:cs="Arial"/>
          <w:sz w:val="20"/>
          <w:szCs w:val="20"/>
        </w:rPr>
        <w:t>propose immediate and longer-term actions to address the bottlenecks.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eastAsia="Times New Roman" w:hAnsi="Arial" w:cs="Arial"/>
          <w:sz w:val="20"/>
          <w:szCs w:val="20"/>
        </w:rPr>
        <w:t xml:space="preserve">This tool can be used </w:t>
      </w:r>
      <w:r w:rsidR="00F12D92" w:rsidRPr="00143E38">
        <w:rPr>
          <w:rFonts w:ascii="Arial" w:eastAsia="Times New Roman" w:hAnsi="Arial" w:cs="Arial"/>
          <w:sz w:val="20"/>
          <w:szCs w:val="20"/>
        </w:rPr>
        <w:t>at</w:t>
      </w:r>
      <w:r w:rsidR="00F74605" w:rsidRPr="00143E38">
        <w:rPr>
          <w:rFonts w:ascii="Arial" w:eastAsia="Times New Roman" w:hAnsi="Arial" w:cs="Arial"/>
          <w:sz w:val="20"/>
          <w:szCs w:val="20"/>
        </w:rPr>
        <w:t xml:space="preserve"> any </w:t>
      </w:r>
      <w:r w:rsidR="00F12D92" w:rsidRPr="00143E38">
        <w:rPr>
          <w:rFonts w:ascii="Arial" w:eastAsia="Times New Roman" w:hAnsi="Arial" w:cs="Arial"/>
          <w:sz w:val="20"/>
          <w:szCs w:val="20"/>
        </w:rPr>
        <w:t xml:space="preserve">country </w:t>
      </w:r>
      <w:r w:rsidR="00F74605" w:rsidRPr="00143E38">
        <w:rPr>
          <w:rFonts w:ascii="Arial" w:eastAsia="Times New Roman" w:hAnsi="Arial" w:cs="Arial"/>
          <w:sz w:val="20"/>
          <w:szCs w:val="20"/>
        </w:rPr>
        <w:t>level</w:t>
      </w:r>
      <w:r w:rsidR="00F74605" w:rsidRPr="00EB2873">
        <w:rPr>
          <w:rFonts w:ascii="Arial" w:eastAsia="Times New Roman" w:hAnsi="Arial" w:cs="Arial"/>
          <w:sz w:val="20"/>
          <w:szCs w:val="20"/>
        </w:rPr>
        <w:t xml:space="preserve">, </w:t>
      </w:r>
      <w:r w:rsidR="00F74605" w:rsidRPr="004F101D">
        <w:rPr>
          <w:rFonts w:ascii="Arial" w:hAnsi="Arial" w:cs="Arial"/>
          <w:sz w:val="20"/>
          <w:szCs w:val="20"/>
        </w:rPr>
        <w:t xml:space="preserve">from </w:t>
      </w:r>
      <w:r w:rsidR="00371085" w:rsidRPr="004F101D">
        <w:rPr>
          <w:rFonts w:ascii="Arial" w:hAnsi="Arial" w:cs="Arial"/>
          <w:sz w:val="20"/>
          <w:szCs w:val="20"/>
        </w:rPr>
        <w:t xml:space="preserve">local administrative units to national health authorities. </w:t>
      </w:r>
    </w:p>
    <w:p w14:paraId="7BDA7CB3" w14:textId="4FA411D4" w:rsidR="00EB2873" w:rsidRDefault="004339E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4339EE">
        <w:rPr>
          <w:rFonts w:ascii="Arial" w:hAnsi="Arial" w:cs="Arial"/>
          <w:sz w:val="20"/>
          <w:szCs w:val="20"/>
        </w:rPr>
        <w:t xml:space="preserve">For detailed definitions and examples of key milestone dates, </w:t>
      </w:r>
      <w:r w:rsidR="004F101D">
        <w:rPr>
          <w:rFonts w:ascii="Arial" w:hAnsi="Arial" w:cs="Arial"/>
          <w:sz w:val="20"/>
          <w:szCs w:val="20"/>
        </w:rPr>
        <w:t>review</w:t>
      </w:r>
      <w:r w:rsidR="004F101D" w:rsidRPr="004339EE">
        <w:rPr>
          <w:rFonts w:ascii="Arial" w:hAnsi="Arial" w:cs="Arial"/>
          <w:sz w:val="20"/>
          <w:szCs w:val="20"/>
        </w:rPr>
        <w:t xml:space="preserve"> </w:t>
      </w:r>
      <w:r w:rsidRPr="004339EE">
        <w:rPr>
          <w:rFonts w:ascii="Arial" w:hAnsi="Arial" w:cs="Arial"/>
          <w:sz w:val="20"/>
          <w:szCs w:val="20"/>
        </w:rPr>
        <w:t xml:space="preserve">the </w:t>
      </w:r>
      <w:hyperlink r:id="rId11" w:tgtFrame="_blank" w:tooltip="https://717alliance.org/resources/7-1-7-milestone-dates-reference-guide/" w:history="1">
        <w:r w:rsidRPr="004339EE">
          <w:rPr>
            <w:rStyle w:val="Hyperlink"/>
            <w:rFonts w:ascii="Arial" w:hAnsi="Arial" w:cs="Arial"/>
            <w:b/>
            <w:bCs/>
            <w:sz w:val="20"/>
            <w:szCs w:val="20"/>
          </w:rPr>
          <w:t>7-1-7 Milestone Dates Reference Guide</w:t>
        </w:r>
      </w:hyperlink>
      <w:r w:rsidR="00564864">
        <w:rPr>
          <w:rFonts w:ascii="Arial" w:hAnsi="Arial" w:cs="Arial"/>
          <w:sz w:val="20"/>
          <w:szCs w:val="20"/>
        </w:rPr>
        <w:t xml:space="preserve"> (</w:t>
      </w:r>
      <w:hyperlink r:id="rId12" w:history="1">
        <w:r w:rsidR="00564864" w:rsidRPr="0034211C">
          <w:rPr>
            <w:rStyle w:val="Hyperlink"/>
            <w:rFonts w:ascii="Arial" w:hAnsi="Arial" w:cs="Arial"/>
            <w:sz w:val="20"/>
            <w:szCs w:val="20"/>
          </w:rPr>
          <w:t>https://717alliance.org/resources/7-1-7-milestone-dates-reference-guide/</w:t>
        </w:r>
      </w:hyperlink>
      <w:r w:rsidR="00564864">
        <w:rPr>
          <w:rFonts w:ascii="Arial" w:hAnsi="Arial" w:cs="Arial"/>
          <w:sz w:val="20"/>
          <w:szCs w:val="20"/>
        </w:rPr>
        <w:t xml:space="preserve">).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7BD4831B" w14:textId="048A7DD6" w:rsidR="002C3C13" w:rsidRPr="008914CD" w:rsidRDefault="002C3C13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Event name</w:t>
      </w:r>
      <w:r w:rsidR="003F49A8" w:rsidRPr="0CD1CCF7">
        <w:rPr>
          <w:rFonts w:ascii="Arial" w:hAnsi="Arial" w:cs="Arial"/>
          <w:sz w:val="20"/>
          <w:szCs w:val="20"/>
        </w:rPr>
        <w:t xml:space="preserve"> (with d</w:t>
      </w:r>
      <w:r w:rsidR="00B809A3" w:rsidRPr="0CD1CCF7">
        <w:rPr>
          <w:rFonts w:ascii="Arial" w:hAnsi="Arial" w:cs="Arial"/>
          <w:sz w:val="20"/>
          <w:szCs w:val="20"/>
        </w:rPr>
        <w:t>isease type</w:t>
      </w:r>
      <w:r w:rsidR="003F49A8" w:rsidRPr="0CD1CCF7">
        <w:rPr>
          <w:rFonts w:ascii="Arial" w:hAnsi="Arial" w:cs="Arial"/>
          <w:sz w:val="20"/>
          <w:szCs w:val="20"/>
        </w:rPr>
        <w:t>)</w:t>
      </w:r>
      <w:r w:rsidR="00B809A3" w:rsidRPr="0CD1CCF7">
        <w:rPr>
          <w:rFonts w:ascii="Arial" w:hAnsi="Arial" w:cs="Arial"/>
          <w:sz w:val="20"/>
          <w:szCs w:val="20"/>
        </w:rPr>
        <w:t xml:space="preserve">: </w:t>
      </w:r>
    </w:p>
    <w:p w14:paraId="3DD1EE07" w14:textId="1761B1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</w:t>
      </w:r>
      <w:r w:rsidR="00AE3414" w:rsidRPr="0CD1CCF7">
        <w:rPr>
          <w:rFonts w:ascii="Arial" w:hAnsi="Arial" w:cs="Arial"/>
          <w:sz w:val="20"/>
          <w:szCs w:val="20"/>
        </w:rPr>
        <w:t>__________</w:t>
      </w:r>
      <w:r w:rsidR="008914CD" w:rsidRPr="0CD1CCF7">
        <w:rPr>
          <w:rFonts w:ascii="Arial" w:hAnsi="Arial" w:cs="Arial"/>
          <w:sz w:val="20"/>
          <w:szCs w:val="20"/>
        </w:rPr>
        <w:t>_</w:t>
      </w:r>
      <w:r w:rsidRPr="0CD1CCF7">
        <w:rPr>
          <w:rFonts w:ascii="Arial" w:hAnsi="Arial" w:cs="Arial"/>
          <w:sz w:val="20"/>
          <w:szCs w:val="20"/>
        </w:rPr>
        <w:t>______________________</w:t>
      </w:r>
      <w:r w:rsidR="00570067" w:rsidRPr="0CD1CCF7">
        <w:rPr>
          <w:rFonts w:ascii="Arial" w:hAnsi="Arial" w:cs="Arial"/>
          <w:sz w:val="20"/>
          <w:szCs w:val="20"/>
        </w:rPr>
        <w:t>___________________</w:t>
      </w:r>
      <w:r w:rsidR="1690E967" w:rsidRPr="0CD1CCF7">
        <w:rPr>
          <w:rFonts w:ascii="Arial" w:hAnsi="Arial" w:cs="Arial"/>
          <w:sz w:val="20"/>
          <w:szCs w:val="20"/>
        </w:rPr>
        <w:t>_</w:t>
      </w:r>
      <w:r w:rsidR="00570067" w:rsidRPr="0CD1CCF7">
        <w:rPr>
          <w:rFonts w:ascii="Arial" w:hAnsi="Arial" w:cs="Arial"/>
          <w:sz w:val="20"/>
          <w:szCs w:val="20"/>
        </w:rPr>
        <w:t>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2196F414" w14:textId="119FFAD4" w:rsidR="002C3C13" w:rsidRPr="008914CD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Event </w:t>
      </w:r>
      <w:r w:rsidR="00E44E39" w:rsidRPr="0CD1CCF7">
        <w:rPr>
          <w:rFonts w:ascii="Arial" w:hAnsi="Arial" w:cs="Arial"/>
          <w:sz w:val="20"/>
          <w:szCs w:val="20"/>
        </w:rPr>
        <w:t>location</w:t>
      </w:r>
      <w:r w:rsidR="002A499F" w:rsidRPr="0CD1CCF7">
        <w:rPr>
          <w:rFonts w:ascii="Arial" w:hAnsi="Arial" w:cs="Arial"/>
          <w:sz w:val="20"/>
          <w:szCs w:val="20"/>
        </w:rPr>
        <w:t>(s)</w:t>
      </w:r>
      <w:r w:rsidR="002C3C13" w:rsidRPr="0CD1CCF7">
        <w:rPr>
          <w:rFonts w:ascii="Arial" w:hAnsi="Arial" w:cs="Arial"/>
          <w:sz w:val="20"/>
          <w:szCs w:val="20"/>
        </w:rPr>
        <w:t>:</w:t>
      </w:r>
      <w:r w:rsidR="002C5D08" w:rsidRPr="0CD1CCF7">
        <w:rPr>
          <w:rFonts w:ascii="Arial" w:hAnsi="Arial" w:cs="Arial"/>
          <w:sz w:val="20"/>
          <w:szCs w:val="20"/>
        </w:rPr>
        <w:t xml:space="preserve"> </w:t>
      </w:r>
    </w:p>
    <w:p w14:paraId="1EDD9BD7" w14:textId="6B6D4F04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</w:t>
      </w:r>
      <w:r w:rsidR="00E44E39" w:rsidRPr="0CD1CCF7">
        <w:rPr>
          <w:rFonts w:ascii="Arial" w:hAnsi="Arial" w:cs="Arial"/>
          <w:sz w:val="20"/>
          <w:szCs w:val="20"/>
        </w:rPr>
        <w:t>_____________</w:t>
      </w:r>
      <w:r w:rsidRPr="0CD1CCF7">
        <w:rPr>
          <w:rFonts w:ascii="Arial" w:hAnsi="Arial" w:cs="Arial"/>
          <w:sz w:val="20"/>
          <w:szCs w:val="20"/>
        </w:rPr>
        <w:t>___________</w:t>
      </w:r>
      <w:r w:rsidR="00E44E39" w:rsidRPr="0CD1CCF7">
        <w:rPr>
          <w:rFonts w:ascii="Arial" w:hAnsi="Arial" w:cs="Arial"/>
          <w:sz w:val="20"/>
          <w:szCs w:val="20"/>
        </w:rPr>
        <w:t>______</w:t>
      </w:r>
      <w:r w:rsidRPr="0CD1CCF7">
        <w:rPr>
          <w:rFonts w:ascii="Arial" w:hAnsi="Arial" w:cs="Arial"/>
          <w:sz w:val="20"/>
          <w:szCs w:val="20"/>
        </w:rPr>
        <w:t>___________</w:t>
      </w:r>
      <w:r w:rsidR="00570067" w:rsidRPr="0CD1CCF7">
        <w:rPr>
          <w:rFonts w:ascii="Arial" w:hAnsi="Arial" w:cs="Arial"/>
          <w:sz w:val="20"/>
          <w:szCs w:val="20"/>
        </w:rPr>
        <w:t>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1C247823" w14:textId="3DF6F578" w:rsidR="00F62FB7" w:rsidRPr="008914CD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Date </w:t>
      </w:r>
      <w:r w:rsidR="0036012C" w:rsidRPr="0CD1CCF7">
        <w:rPr>
          <w:rFonts w:ascii="Arial" w:hAnsi="Arial" w:cs="Arial"/>
          <w:sz w:val="20"/>
          <w:szCs w:val="20"/>
        </w:rPr>
        <w:t xml:space="preserve">this report completed: </w:t>
      </w:r>
    </w:p>
    <w:p w14:paraId="535BAF88" w14:textId="4CA7C2C0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_____________________</w:t>
      </w:r>
      <w:r w:rsidR="00E44E39" w:rsidRPr="0CD1CCF7">
        <w:rPr>
          <w:rFonts w:ascii="Arial" w:hAnsi="Arial" w:cs="Arial"/>
          <w:sz w:val="20"/>
          <w:szCs w:val="20"/>
        </w:rPr>
        <w:t>_____________</w:t>
      </w:r>
      <w:r w:rsidRPr="0CD1CCF7">
        <w:rPr>
          <w:rFonts w:ascii="Arial" w:hAnsi="Arial" w:cs="Arial"/>
          <w:sz w:val="20"/>
          <w:szCs w:val="20"/>
        </w:rPr>
        <w:t>_______</w:t>
      </w:r>
      <w:r w:rsidR="00570067" w:rsidRPr="0CD1CCF7">
        <w:rPr>
          <w:rFonts w:ascii="Arial" w:hAnsi="Arial" w:cs="Arial"/>
          <w:sz w:val="20"/>
          <w:szCs w:val="20"/>
        </w:rPr>
        <w:t>____________</w:t>
      </w:r>
      <w:r w:rsidRPr="0CD1CCF7">
        <w:rPr>
          <w:rFonts w:ascii="Arial" w:hAnsi="Arial" w:cs="Arial"/>
          <w:sz w:val="20"/>
          <w:szCs w:val="20"/>
        </w:rPr>
        <w:t>_</w:t>
      </w:r>
      <w:r w:rsidR="00570067" w:rsidRPr="0CD1CCF7">
        <w:rPr>
          <w:rFonts w:ascii="Arial" w:hAnsi="Arial" w:cs="Arial"/>
          <w:sz w:val="20"/>
          <w:szCs w:val="20"/>
        </w:rPr>
        <w:t>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10A8B8F4" w14:textId="1161AD73" w:rsidR="00F62FB7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Name of </w:t>
      </w:r>
      <w:r w:rsidR="00E44E39" w:rsidRPr="0CD1CCF7">
        <w:rPr>
          <w:rFonts w:ascii="Arial" w:hAnsi="Arial" w:cs="Arial"/>
          <w:sz w:val="20"/>
          <w:szCs w:val="20"/>
        </w:rPr>
        <w:t>person completing this report</w:t>
      </w:r>
      <w:r w:rsidRPr="0CD1CCF7">
        <w:rPr>
          <w:rFonts w:ascii="Arial" w:hAnsi="Arial" w:cs="Arial"/>
          <w:sz w:val="20"/>
          <w:szCs w:val="20"/>
        </w:rPr>
        <w:t>:</w:t>
      </w:r>
      <w:r w:rsidR="002C5D08" w:rsidRPr="0CD1CCF7">
        <w:rPr>
          <w:rFonts w:ascii="Arial" w:hAnsi="Arial" w:cs="Arial"/>
          <w:sz w:val="20"/>
          <w:szCs w:val="20"/>
        </w:rPr>
        <w:t xml:space="preserve"> </w:t>
      </w:r>
    </w:p>
    <w:p w14:paraId="7C1A17FE" w14:textId="18BBC162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_________________________________</w:t>
      </w:r>
      <w:r w:rsidR="00570067" w:rsidRPr="0CD1CCF7">
        <w:rPr>
          <w:rFonts w:ascii="Arial" w:hAnsi="Arial" w:cs="Arial"/>
          <w:sz w:val="20"/>
          <w:szCs w:val="20"/>
        </w:rPr>
        <w:t>_______________________</w:t>
      </w:r>
      <w:r w:rsidR="010E2030" w:rsidRPr="0CD1CCF7">
        <w:rPr>
          <w:rFonts w:ascii="Arial" w:hAnsi="Arial" w:cs="Arial"/>
          <w:sz w:val="20"/>
          <w:szCs w:val="20"/>
        </w:rPr>
        <w:t>______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 w:rsidRPr="00E22376">
        <w:rPr>
          <w:rFonts w:ascii="Arial" w:hAnsi="Arial" w:cs="Arial"/>
          <w:b/>
          <w:bCs/>
          <w:color w:val="618393"/>
        </w:rPr>
        <w:lastRenderedPageBreak/>
        <w:t xml:space="preserve">Step 1. Record dates for </w:t>
      </w:r>
      <w:r w:rsidR="00334490" w:rsidRPr="00E22376">
        <w:rPr>
          <w:rFonts w:ascii="Arial" w:hAnsi="Arial" w:cs="Arial"/>
          <w:b/>
          <w:bCs/>
          <w:color w:val="618393"/>
        </w:rPr>
        <w:t xml:space="preserve">7-1-7 </w:t>
      </w:r>
      <w:r w:rsidRPr="00E22376">
        <w:rPr>
          <w:rFonts w:ascii="Arial" w:hAnsi="Arial" w:cs="Arial"/>
          <w:b/>
          <w:bCs/>
          <w:color w:val="618393"/>
        </w:rPr>
        <w:t xml:space="preserve">milestones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0CD1CCF7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7-1-7 m</w:t>
            </w:r>
            <w:r w:rsidR="0013269D"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ilestone</w:t>
            </w: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dates</w:t>
            </w:r>
            <w:r w:rsidR="0013712D">
              <w:rPr>
                <w:rStyle w:val="FootnoteReference"/>
                <w:rFonts w:ascii="Arial" w:hAnsi="Arial" w:cs="Arial"/>
                <w:b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Date </w:t>
            </w:r>
            <w:r w:rsidRPr="00B627C8">
              <w:rPr>
                <w:color w:val="FFFFFF" w:themeColor="background1"/>
              </w:rPr>
              <w:br/>
            </w:r>
            <w:r w:rsidRPr="00B627C8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DD/MM/YY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Narrative</w:t>
            </w:r>
            <w:r>
              <w:br/>
            </w:r>
            <w:r w:rsidR="00966DBB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H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ow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was the</w:t>
            </w:r>
            <w:r w:rsidR="00991BDC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date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determined?</w:t>
            </w:r>
            <w:r w:rsidR="005B6CB3" w:rsidRPr="00BE6CE2">
              <w:rPr>
                <w:rFonts w:ascii="Arial" w:hAnsi="Arial" w:cs="Arial"/>
                <w:color w:val="FFFFFF" w:themeColor="background1"/>
                <w:sz w:val="16"/>
                <w:szCs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0CD1CCF7">
        <w:trPr>
          <w:trHeight w:val="1030"/>
        </w:trPr>
        <w:tc>
          <w:tcPr>
            <w:tcW w:w="5182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 w:rsidRPr="00595B9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Date of emergence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2B4AE8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br/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non-endemic diseases</w:t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index case or first epidemiologically linked case first experienced symptoms</w:t>
            </w:r>
            <w:r w:rsidR="00900BF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AFD6022" w14:textId="0E14CCD5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endemic diseases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a predetermined increase in case incidence over baseline rates occurred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other public health events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threat first met criteria as a reportable event based on country reporting standards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0CD1CCF7">
        <w:trPr>
          <w:trHeight w:val="720"/>
        </w:trPr>
        <w:tc>
          <w:tcPr>
            <w:tcW w:w="5182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detection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recorded by any source or in any system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55931A5A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0CD1CCF7">
        <w:trPr>
          <w:trHeight w:val="746"/>
        </w:trPr>
        <w:tc>
          <w:tcPr>
            <w:tcW w:w="5182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notification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reported to a public health authority responsible for action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6C7A07BB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A5956F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0CD1CCF7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7-1-7 early response action dates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Date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on which each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applicable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action occurred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(no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 that some are the dates of initiation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1F4F33" w:rsidRPr="002B4AE8" w14:paraId="369F01FF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investigation or deploy investigation/response team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6C6D2B2A" w14:textId="77777777" w:rsidR="0013269D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Conduct epidemiologic analysis and initial risk assessment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Obtain laboratory confirmation of the outbreak etiology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case management and infection prevention and control (IPC) measures in health facilities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587C57F6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appropriate public health countermeasure</w:t>
            </w:r>
            <w:r w:rsidR="00F37AC1">
              <w:rPr>
                <w:rFonts w:ascii="Arial" w:hAnsi="Arial" w:cs="Arial"/>
                <w:sz w:val="18"/>
                <w:szCs w:val="18"/>
              </w:rPr>
              <w:t>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 w:rsidR="00F37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5DF7">
              <w:rPr>
                <w:rFonts w:ascii="Arial" w:hAnsi="Arial" w:cs="Arial"/>
                <w:sz w:val="18"/>
                <w:szCs w:val="18"/>
              </w:rPr>
              <w:t xml:space="preserve">in affected communities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risk communication and community engagement activities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Establish a coordination mechanism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0CD1CCF7">
        <w:trPr>
          <w:trHeight w:val="854"/>
        </w:trPr>
        <w:tc>
          <w:tcPr>
            <w:tcW w:w="5182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BD944DB">
              <w:rPr>
                <w:rFonts w:ascii="Arial" w:hAnsi="Arial" w:cs="Arial"/>
                <w:b/>
                <w:bCs/>
                <w:sz w:val="20"/>
                <w:szCs w:val="20"/>
              </w:rPr>
              <w:t>Date of early response action completion</w:t>
            </w:r>
            <w:r>
              <w:br/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D</w:t>
            </w:r>
            <w:r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ate on which </w:t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last of </w:t>
            </w:r>
            <w:r w:rsidR="00515DBA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</w:t>
            </w:r>
            <w:r w:rsidR="00934499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applicable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early response action</w:t>
            </w:r>
            <w:r w:rsidR="00515DBA" w:rsidRPr="3BD944DB">
              <w:rPr>
                <w:rFonts w:ascii="Arial" w:hAnsi="Arial" w:cs="Arial"/>
                <w:sz w:val="18"/>
                <w:szCs w:val="18"/>
              </w:rPr>
              <w:t>s</w:t>
            </w:r>
            <w:r w:rsidR="00F04066" w:rsidRPr="3BD944DB">
              <w:rPr>
                <w:rFonts w:ascii="Arial" w:hAnsi="Arial" w:cs="Arial"/>
                <w:sz w:val="18"/>
                <w:szCs w:val="18"/>
              </w:rPr>
              <w:t xml:space="preserve"> listed above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occur</w:t>
            </w:r>
            <w:r w:rsidR="236ACB8B" w:rsidRPr="402185F5">
              <w:rPr>
                <w:rFonts w:ascii="Arial" w:hAnsi="Arial" w:cs="Arial"/>
                <w:sz w:val="18"/>
                <w:szCs w:val="18"/>
              </w:rPr>
              <w:t>r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ed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 w:rsidRPr="3BD944DB">
        <w:rPr>
          <w:rFonts w:ascii="Arial" w:hAnsi="Arial" w:cs="Arial"/>
          <w:b/>
          <w:bCs/>
          <w:color w:val="618393"/>
          <w:sz w:val="24"/>
          <w:szCs w:val="24"/>
        </w:rPr>
        <w:t>Step 2. Calculate timeliness in 7-1-7 intervals</w:t>
      </w:r>
    </w:p>
    <w:p w14:paraId="40488D48" w14:textId="11677937" w:rsidR="00204DA7" w:rsidRPr="00FF1604" w:rsidRDefault="00204DA7" w:rsidP="002A24C3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 w:rsidRPr="3BD944DB">
        <w:rPr>
          <w:rFonts w:ascii="Arial" w:hAnsi="Arial" w:cs="Arial"/>
          <w:color w:val="000000" w:themeColor="text1"/>
          <w:sz w:val="20"/>
          <w:szCs w:val="20"/>
        </w:rPr>
        <w:t>Calculations are based on the difference between dates (e.g., August 3 – August 1 = 2 days).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33EC0">
        <w:rPr>
          <w:rFonts w:ascii="Arial" w:hAnsi="Arial" w:cs="Arial"/>
          <w:color w:val="000000" w:themeColor="text1"/>
          <w:sz w:val="20"/>
          <w:szCs w:val="20"/>
        </w:rPr>
        <w:t xml:space="preserve">Report </w:t>
      </w:r>
      <w:r w:rsidR="004A1E68">
        <w:rPr>
          <w:rFonts w:ascii="Arial" w:hAnsi="Arial" w:cs="Arial"/>
          <w:color w:val="000000" w:themeColor="text1"/>
          <w:sz w:val="20"/>
          <w:szCs w:val="20"/>
        </w:rPr>
        <w:t xml:space="preserve">“timeliness” as “&lt;1” if 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 xml:space="preserve">calculated to be 0 </w:t>
      </w:r>
      <w:r w:rsidR="06D081D9" w:rsidRPr="402185F5">
        <w:rPr>
          <w:rFonts w:ascii="Arial" w:hAnsi="Arial" w:cs="Arial"/>
          <w:color w:val="000000" w:themeColor="text1"/>
          <w:sz w:val="20"/>
          <w:szCs w:val="20"/>
        </w:rPr>
        <w:t>(e.g. detection and notification occur on the same day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>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Interval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Calculation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Timeliness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Target 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Met target?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Yes/No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2664" w:type="dxa"/>
            <w:vAlign w:val="center"/>
          </w:tcPr>
          <w:p w14:paraId="5E5FE80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between dates of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emergence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detection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 w:rsidDel="004B596B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2664" w:type="dxa"/>
            <w:vAlign w:val="center"/>
          </w:tcPr>
          <w:p w14:paraId="1234678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between dates of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detection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notification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2664" w:type="dxa"/>
            <w:vAlign w:val="center"/>
          </w:tcPr>
          <w:p w14:paraId="071C87E3" w14:textId="3354FFB4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between dates of notification and completion of the last early response action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0FF1604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Step 3. Identify bottlenecks and enablers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Bottlenecks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prevented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Identify max 3, if applicable.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Enablers</w:t>
            </w: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enabled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Identify max 3, if applicable. Document for advocacy and to demonstrate impact.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313662" w14:textId="5F26A026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Step 4. Propose </w:t>
      </w:r>
      <w:r w:rsidR="00F0549C"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corrective </w:t>
      </w: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>actions to address bottlenecks</w:t>
      </w:r>
      <w:r w:rsidRPr="00FF1604">
        <w:rPr>
          <w:rFonts w:ascii="Arial" w:hAnsi="Arial" w:cs="Arial"/>
          <w:b/>
          <w:bCs/>
          <w:color w:val="618393"/>
          <w:sz w:val="24"/>
          <w:szCs w:val="24"/>
        </w:rPr>
        <w:t xml:space="preserve"> </w:t>
      </w:r>
      <w:r>
        <w:br/>
      </w:r>
      <w:r>
        <w:br/>
      </w:r>
      <w:r w:rsidR="00A36451" w:rsidRPr="00A36451">
        <w:rPr>
          <w:rFonts w:ascii="Arial" w:eastAsia="PublicSans-Thin" w:hAnsi="Arial" w:cs="Arial"/>
          <w:b/>
          <w:bCs/>
          <w:color w:val="618393"/>
          <w:sz w:val="20"/>
          <w:szCs w:val="18"/>
        </w:rPr>
        <w:t>Immediate actions</w:t>
      </w:r>
      <w:r>
        <w:br/>
      </w:r>
      <w:proofErr w:type="spellStart"/>
      <w:r w:rsidRPr="00D22DFE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D22DFE">
        <w:rPr>
          <w:rFonts w:ascii="Arial" w:hAnsi="Arial" w:cs="Arial"/>
          <w:color w:val="000000" w:themeColor="text1"/>
          <w:sz w:val="20"/>
          <w:szCs w:val="20"/>
        </w:rPr>
        <w:t xml:space="preserve"> for immediate implementation (e.g., where resources are available or anticipated)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A60F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15BA91D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32" w:type="dxa"/>
          </w:tcPr>
          <w:p w14:paraId="253E1F83" w14:textId="245DA7AF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5B4BA853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 authority</w:t>
            </w:r>
          </w:p>
        </w:tc>
        <w:tc>
          <w:tcPr>
            <w:tcW w:w="1405" w:type="dxa"/>
          </w:tcPr>
          <w:p w14:paraId="16D2418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start date</w:t>
            </w:r>
          </w:p>
        </w:tc>
        <w:tc>
          <w:tcPr>
            <w:tcW w:w="1405" w:type="dxa"/>
          </w:tcPr>
          <w:p w14:paraId="1B2777F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end date</w:t>
            </w:r>
          </w:p>
        </w:tc>
      </w:tr>
      <w:tr w:rsidR="00A60F9C" w:rsidRPr="00D22DFE" w14:paraId="725C7C3C" w14:textId="77777777" w:rsidTr="00A60F9C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2E24A756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13145D63" w14:textId="47737A4A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F4F5AD6" w14:textId="32C7876E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45D0C1C1" w14:textId="77777777" w:rsidTr="00A60F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780DA5E8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5AA346C8" w14:textId="60F287FB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4DF4E6F" w14:textId="31FF9599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67A050ED" w14:textId="77777777" w:rsidTr="00A60F9C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004A8821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BA3ECEE" w14:textId="62658C58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2AC5216E" w14:textId="64CC0379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693BEA67" w14:textId="77777777" w:rsidTr="00A60F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4817BE39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DF35AD7" w14:textId="03DC5086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BF0A021" w14:textId="10D14E3B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 w:rsidRPr="00405756">
        <w:rPr>
          <w:rFonts w:ascii="Arial" w:eastAsia="PublicSans-Thin" w:hAnsi="Arial" w:cs="Arial"/>
          <w:b/>
          <w:bCs/>
          <w:color w:val="618393"/>
          <w:sz w:val="20"/>
          <w:szCs w:val="20"/>
        </w:rPr>
        <w:t>Longer-term actions</w:t>
      </w:r>
      <w:r w:rsidRPr="0040575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405756">
        <w:rPr>
          <w:color w:val="808080" w:themeColor="background1" w:themeShade="80"/>
          <w:sz w:val="20"/>
          <w:szCs w:val="20"/>
        </w:rPr>
        <w:br/>
      </w:r>
      <w:proofErr w:type="spellStart"/>
      <w:r w:rsidRPr="00405756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405756">
        <w:rPr>
          <w:rFonts w:ascii="Arial" w:hAnsi="Arial" w:cs="Arial"/>
          <w:color w:val="000000" w:themeColor="text1"/>
          <w:sz w:val="20"/>
          <w:szCs w:val="20"/>
        </w:rPr>
        <w:t xml:space="preserve"> for longer-term planning and funding (e.g., through planning and budget cycles)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80" w:type="dxa"/>
          </w:tcPr>
          <w:p w14:paraId="6CB226C3" w14:textId="35FF6B9E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0986010D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70" w:type="dxa"/>
          </w:tcPr>
          <w:p w14:paraId="74E30D16" w14:textId="0CA3153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authority</w:t>
            </w:r>
          </w:p>
        </w:tc>
        <w:tc>
          <w:tcPr>
            <w:tcW w:w="2588" w:type="dxa"/>
          </w:tcPr>
          <w:p w14:paraId="4579FC21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Opportunities for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planning and funding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t xml:space="preserve">(e.g., incorporate in NAPHS, </w:t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br/>
              <w:t>funding proposals)</w:t>
            </w:r>
          </w:p>
        </w:tc>
      </w:tr>
      <w:tr w:rsidR="00A60F9C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0B48FF31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0E8C3D67" w14:textId="2E2AA2C8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A60F9C" w:rsidRPr="00976A13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A60F9C" w:rsidRPr="00976A13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A60F9C" w:rsidRPr="00976A13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6E7795BC" w:rsidR="00A60F9C" w:rsidRPr="00976A13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2EE97555" w14:textId="67D704E2" w:rsidR="00A60F9C" w:rsidRPr="00976A13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452BBD20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1E11BBB6" w14:textId="2C9DC846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0D939155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3897F1D8" w14:textId="063AC2B5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48D45C06" w14:textId="69D0212E" w:rsidR="004015A5" w:rsidRDefault="004015A5" w:rsidP="003F503E">
      <w:pPr>
        <w:spacing w:after="20" w:line="276" w:lineRule="auto"/>
        <w:rPr>
          <w:rFonts w:ascii="Arial" w:hAnsi="Arial" w:cs="Arial"/>
        </w:rPr>
      </w:pPr>
    </w:p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27D" w14:textId="77777777" w:rsidR="002159CB" w:rsidRDefault="002159CB" w:rsidP="00D33AFB">
      <w:pPr>
        <w:spacing w:after="0" w:line="240" w:lineRule="auto"/>
      </w:pPr>
      <w:r>
        <w:separator/>
      </w:r>
    </w:p>
  </w:endnote>
  <w:endnote w:type="continuationSeparator" w:id="0">
    <w:p w14:paraId="4F0F066B" w14:textId="77777777" w:rsidR="002159CB" w:rsidRDefault="002159CB" w:rsidP="00D33AFB">
      <w:pPr>
        <w:spacing w:after="0" w:line="240" w:lineRule="auto"/>
      </w:pPr>
      <w:r>
        <w:continuationSeparator/>
      </w:r>
    </w:p>
  </w:endnote>
  <w:endnote w:type="continuationNotice" w:id="1">
    <w:p w14:paraId="617A72A7" w14:textId="77777777" w:rsidR="002159CB" w:rsidRDefault="0021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04DAB" w14:textId="4F8B1B3F" w:rsidR="0CD1CCF7" w:rsidRDefault="0CD1CCF7" w:rsidP="0CD1CCF7">
    <w:pPr>
      <w:pStyle w:val="Footer"/>
      <w:jc w:val="right"/>
      <w:rPr>
        <w:sz w:val="16"/>
        <w:szCs w:val="16"/>
      </w:rPr>
    </w:pPr>
    <w:r w:rsidRPr="0CD1CCF7">
      <w:rPr>
        <w:sz w:val="16"/>
        <w:szCs w:val="16"/>
      </w:rPr>
      <w:fldChar w:fldCharType="begin"/>
    </w:r>
    <w:r>
      <w:instrText>PAGE</w:instrText>
    </w:r>
    <w:r w:rsidRPr="0CD1CCF7">
      <w:fldChar w:fldCharType="separate"/>
    </w:r>
    <w:r w:rsidR="00A60F9C">
      <w:rPr>
        <w:noProof/>
      </w:rPr>
      <w:t>2</w:t>
    </w:r>
    <w:r w:rsidRPr="0CD1CCF7">
      <w:rPr>
        <w:sz w:val="16"/>
        <w:szCs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726028F2" w:rsidR="002524A5" w:rsidRPr="00F10719" w:rsidRDefault="0CD1CCF7" w:rsidP="0CD1CCF7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 w:rsidRPr="0CD1CCF7">
          <w:rPr>
            <w:rStyle w:val="PageNumber"/>
            <w:rFonts w:ascii="Arial" w:hAnsi="Arial" w:cs="Arial"/>
            <w:sz w:val="14"/>
            <w:szCs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  <w:szCs w:val="10"/>
      </w:rPr>
      <w:t>v.</w:t>
    </w:r>
    <w:r w:rsidRPr="0085198B">
      <w:rPr>
        <w:color w:val="808080" w:themeColor="background1" w:themeShade="80"/>
        <w:sz w:val="10"/>
        <w:szCs w:val="10"/>
      </w:rPr>
      <w:t xml:space="preserve">2 </w:t>
    </w:r>
    <w:r>
      <w:rPr>
        <w:color w:val="808080" w:themeColor="background1" w:themeShade="80"/>
        <w:sz w:val="10"/>
        <w:szCs w:val="10"/>
      </w:rPr>
      <w:t>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325B" w14:textId="77777777" w:rsidR="002159CB" w:rsidRDefault="002159CB" w:rsidP="00D33AFB">
      <w:pPr>
        <w:spacing w:after="0" w:line="240" w:lineRule="auto"/>
      </w:pPr>
      <w:r>
        <w:separator/>
      </w:r>
    </w:p>
  </w:footnote>
  <w:footnote w:type="continuationSeparator" w:id="0">
    <w:p w14:paraId="279FB77D" w14:textId="77777777" w:rsidR="002159CB" w:rsidRDefault="002159CB" w:rsidP="00D33AFB">
      <w:pPr>
        <w:spacing w:after="0" w:line="240" w:lineRule="auto"/>
      </w:pPr>
      <w:r>
        <w:continuationSeparator/>
      </w:r>
    </w:p>
  </w:footnote>
  <w:footnote w:type="continuationNotice" w:id="1">
    <w:p w14:paraId="33B989BC" w14:textId="77777777" w:rsidR="002159CB" w:rsidRDefault="002159CB">
      <w:pPr>
        <w:spacing w:after="0" w:line="240" w:lineRule="auto"/>
      </w:pPr>
    </w:p>
  </w:footnote>
  <w:footnote w:id="2">
    <w:p w14:paraId="4322D0F8" w14:textId="5604946B" w:rsidR="0013712D" w:rsidRPr="00BE6CE2" w:rsidRDefault="0013712D" w:rsidP="00BE6CE2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See the </w:t>
      </w:r>
      <w:hyperlink r:id="rId1" w:tgtFrame="_blank" w:tooltip="https://717alliance.org/resources/7-1-7-milestone-dates-reference-guide/" w:history="1">
        <w:r w:rsidRPr="00BE6CE2">
          <w:rPr>
            <w:rStyle w:val="Hyperlink"/>
            <w:rFonts w:ascii="Arial" w:hAnsi="Arial" w:cs="Arial"/>
            <w:b/>
            <w:bCs/>
            <w:sz w:val="14"/>
            <w:szCs w:val="14"/>
          </w:rPr>
          <w:t>7-1-7 Milestone Dates Reference Guide</w:t>
        </w:r>
      </w:hyperlink>
      <w:r w:rsidR="00916E79">
        <w:rPr>
          <w:rFonts w:ascii="Arial" w:hAnsi="Arial" w:cs="Arial"/>
          <w:sz w:val="14"/>
          <w:szCs w:val="14"/>
        </w:rPr>
        <w:t xml:space="preserve"> for additional details</w:t>
      </w:r>
      <w:r w:rsidR="00522F20" w:rsidRPr="00522F20">
        <w:rPr>
          <w:rFonts w:ascii="Arial" w:hAnsi="Arial" w:cs="Arial"/>
          <w:sz w:val="14"/>
          <w:szCs w:val="14"/>
        </w:rPr>
        <w:t xml:space="preserve">: </w:t>
      </w:r>
      <w:r w:rsidR="00522F20" w:rsidRPr="00BE6CE2">
        <w:rPr>
          <w:rFonts w:ascii="Arial" w:hAnsi="Arial" w:cs="Arial"/>
          <w:sz w:val="14"/>
          <w:szCs w:val="14"/>
        </w:rPr>
        <w:t>https://717alliance.org/resources/7-1-7-milestone-dates-reference-guide/</w:t>
      </w:r>
      <w:r w:rsidR="00916E79" w:rsidRPr="00522F20">
        <w:rPr>
          <w:rFonts w:ascii="Arial" w:hAnsi="Arial" w:cs="Arial"/>
          <w:sz w:val="14"/>
          <w:szCs w:val="14"/>
        </w:rPr>
        <w:t>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Pr="00916E79">
        <w:rPr>
          <w:rFonts w:ascii="Arial" w:hAnsi="Arial" w:cs="Arial"/>
          <w:sz w:val="14"/>
          <w:szCs w:val="14"/>
        </w:rPr>
        <w:t>Date of emergence may change as data are updated through the course of the epidemiologic investigation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="00916E79" w:rsidRPr="00916E79">
        <w:rPr>
          <w:rFonts w:ascii="Arial" w:hAnsi="Arial" w:cs="Arial"/>
          <w:sz w:val="14"/>
          <w:szCs w:val="14"/>
        </w:rPr>
        <w:t>ORS sachets, antimicrobial agents, water treatment, soap, insect repellants, bed nets, PPE), initiation of public health and social measures (e.g., masking, travel restrictions, quarantine, food recall, boil water advisory)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 w:rsidRPr="00F10719">
      <w:rPr>
        <w:rFonts w:ascii="Arial" w:eastAsia="PublicSans-Thin" w:hAnsi="Arial" w:cs="Arial"/>
        <w:b/>
        <w:bCs/>
        <w:color w:val="3BB041"/>
        <w:sz w:val="15"/>
        <w:szCs w:val="15"/>
      </w:rPr>
      <w:t xml:space="preserve">7-1-7 Assessment Tool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9A2991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E6781D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0F9C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10E2030"/>
    <w:rsid w:val="0310A1C9"/>
    <w:rsid w:val="06D081D9"/>
    <w:rsid w:val="07EF2A21"/>
    <w:rsid w:val="0B8B36B5"/>
    <w:rsid w:val="0CB5EC27"/>
    <w:rsid w:val="0CD1CCF7"/>
    <w:rsid w:val="1524F19A"/>
    <w:rsid w:val="159D73F2"/>
    <w:rsid w:val="1690E967"/>
    <w:rsid w:val="1731C0DB"/>
    <w:rsid w:val="1E7EB4AC"/>
    <w:rsid w:val="228ACD7D"/>
    <w:rsid w:val="236ACB8B"/>
    <w:rsid w:val="25A804FC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890FEE"/>
    <w:rsid w:val="4BF6AD71"/>
    <w:rsid w:val="5116D100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2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044966-4F53-4944-BB16-06B588B8A6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Shefali Oza</cp:lastModifiedBy>
  <cp:revision>6</cp:revision>
  <cp:lastPrinted>2023-09-04T04:54:00Z</cp:lastPrinted>
  <dcterms:created xsi:type="dcterms:W3CDTF">2025-01-29T03:48:00Z</dcterms:created>
  <dcterms:modified xsi:type="dcterms:W3CDTF">2025-02-25T23:40:00Z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</Properties>
</file>