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AEC8" w14:textId="7AA55EC2" w:rsidR="00BE17DB" w:rsidRPr="00D27959" w:rsidRDefault="009546F2" w:rsidP="00BE17DB">
      <w:pPr>
        <w:pStyle w:val="Heading2"/>
        <w:rPr>
          <w:rFonts w:eastAsia="BarlowCondensed-SemiBold"/>
          <w:bCs/>
          <w:color w:val="3BB041"/>
          <w:sz w:val="36"/>
          <w:szCs w:val="46"/>
        </w:rPr>
      </w:pPr>
      <w:r>
        <w:rPr>
          <w:color w:val="3BB041"/>
          <w:sz w:val="36"/>
        </w:rPr>
        <w:t xml:space="preserve">Herramienta de mapeo de sistemas existentes </w:t>
      </w:r>
    </w:p>
    <w:p w14:paraId="77D6220B" w14:textId="1E6A73D0" w:rsidR="00BE17DB" w:rsidRDefault="00BE17DB" w:rsidP="009546F2">
      <w:pPr>
        <w:pStyle w:val="Heading4"/>
        <w:ind w:right="1440"/>
        <w:rPr>
          <w:color w:val="44546A" w:themeColor="text2"/>
          <w:sz w:val="24"/>
        </w:rPr>
      </w:pPr>
      <w:r>
        <w:rPr>
          <w:color w:val="44546A" w:themeColor="text2"/>
          <w:sz w:val="24"/>
        </w:rPr>
        <w:t>Objetivo: Mapear los sistemas y las estructuras existentes para identificar dónde integrar el enfoque 7-1-7 para un uso efectivo y sostenible.</w:t>
      </w:r>
    </w:p>
    <w:p w14:paraId="1ADCFB61" w14:textId="52D8A80F" w:rsidR="00BE17DB" w:rsidRPr="00577689" w:rsidRDefault="00744B8F" w:rsidP="00BE17D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sz w:val="20"/>
        </w:rPr>
        <w:t>Tenga en cuenta</w:t>
      </w:r>
      <w:r w:rsidR="001A616F">
        <w:rPr>
          <w:rFonts w:ascii="Arial" w:hAnsi="Arial"/>
          <w:i/>
          <w:sz w:val="20"/>
        </w:rPr>
        <w:t xml:space="preserve"> que la primera línea en cada tabla fue completada para proporcionar un ejemplo.</w:t>
      </w:r>
    </w:p>
    <w:p w14:paraId="15F8CA5D" w14:textId="77777777" w:rsidR="001E2AAC" w:rsidRPr="00337BB8" w:rsidRDefault="001E2AAC" w:rsidP="00BE17DB">
      <w:pPr>
        <w:rPr>
          <w:rFonts w:ascii="Arial" w:hAnsi="Arial" w:cs="Arial"/>
          <w:sz w:val="20"/>
          <w:szCs w:val="20"/>
        </w:rPr>
      </w:pPr>
    </w:p>
    <w:p w14:paraId="75298B85" w14:textId="1D2F6157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t>Enumere los sistemas de vigilancia existentes utilizados para detectar o recopilar datos sobre brotes u otros eventos de salud pública.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09"/>
        <w:gridCol w:w="1351"/>
        <w:gridCol w:w="2790"/>
        <w:gridCol w:w="2340"/>
        <w:gridCol w:w="3775"/>
      </w:tblGrid>
      <w:tr w:rsidR="00BE17DB" w:rsidRPr="00BE17DB" w14:paraId="14AB0EE7" w14:textId="2029F5D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873AA0" w14:textId="77777777" w:rsidR="00BE17DB" w:rsidRPr="00BE17DB" w:rsidRDefault="00BE17DB" w:rsidP="00B75C07">
            <w:pPr>
              <w:suppressAutoHyphens/>
              <w:ind w:right="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del sistema</w:t>
            </w:r>
          </w:p>
        </w:tc>
        <w:tc>
          <w:tcPr>
            <w:tcW w:w="2609" w:type="dxa"/>
            <w:vAlign w:val="center"/>
          </w:tcPr>
          <w:p w14:paraId="75E0BFE6" w14:textId="77777777" w:rsidR="00BE17DB" w:rsidRPr="00BE17DB" w:rsidRDefault="00BE17DB" w:rsidP="00B75C07">
            <w:pPr>
              <w:snapToGrid w:val="0"/>
              <w:spacing w:before="240" w:line="288" w:lineRule="auto"/>
              <w:ind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Propósito/descripción del sistema</w:t>
            </w:r>
          </w:p>
        </w:tc>
        <w:tc>
          <w:tcPr>
            <w:tcW w:w="1351" w:type="dxa"/>
            <w:vAlign w:val="center"/>
          </w:tcPr>
          <w:p w14:paraId="4A2EC819" w14:textId="77777777" w:rsidR="00BE17DB" w:rsidRPr="00BE17DB" w:rsidRDefault="00BE17DB" w:rsidP="00B75C07">
            <w:pPr>
              <w:snapToGrid w:val="0"/>
              <w:spacing w:before="240" w:line="288" w:lineRule="auto"/>
              <w:ind w:left="1" w:right="-142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Propietario del sistema</w:t>
            </w:r>
          </w:p>
        </w:tc>
        <w:tc>
          <w:tcPr>
            <w:tcW w:w="2790" w:type="dxa"/>
            <w:vAlign w:val="center"/>
          </w:tcPr>
          <w:p w14:paraId="6A608A6B" w14:textId="37C84693" w:rsidR="00BE17DB" w:rsidRPr="00BE17DB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Datos recopilados</w:t>
            </w:r>
          </w:p>
        </w:tc>
        <w:tc>
          <w:tcPr>
            <w:tcW w:w="2340" w:type="dxa"/>
            <w:vAlign w:val="center"/>
          </w:tcPr>
          <w:p w14:paraId="04C90C6E" w14:textId="7CC4FD73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Limitaciones del sistema</w:t>
            </w:r>
          </w:p>
        </w:tc>
        <w:tc>
          <w:tcPr>
            <w:tcW w:w="3775" w:type="dxa"/>
            <w:vAlign w:val="center"/>
          </w:tcPr>
          <w:p w14:paraId="2FEE8AD7" w14:textId="2C3C1732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Relevancia para 7-1-7</w:t>
            </w:r>
          </w:p>
        </w:tc>
      </w:tr>
      <w:tr w:rsidR="00BE17DB" w:rsidRPr="00BE17DB" w14:paraId="4B90B455" w14:textId="6D511A64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677A34" w14:textId="4E644D5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DHIS-2</w:t>
            </w:r>
          </w:p>
        </w:tc>
        <w:tc>
          <w:tcPr>
            <w:tcW w:w="2609" w:type="dxa"/>
          </w:tcPr>
          <w:p w14:paraId="560AD701" w14:textId="539803B6" w:rsidR="00BE17DB" w:rsidRPr="00607CCD" w:rsidRDefault="00BE17DB" w:rsidP="00FB2D59">
            <w:pPr>
              <w:tabs>
                <w:tab w:val="left" w:pos="450"/>
              </w:tabs>
              <w:spacing w:before="100" w:after="0" w:line="343" w:lineRule="auto"/>
              <w:ind w:left="45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eIDSR</w:t>
            </w:r>
          </w:p>
        </w:tc>
        <w:tc>
          <w:tcPr>
            <w:tcW w:w="1351" w:type="dxa"/>
          </w:tcPr>
          <w:p w14:paraId="2FA7D72E" w14:textId="091DCD97" w:rsidR="00BE17DB" w:rsidRPr="00607CCD" w:rsidRDefault="00BE17DB" w:rsidP="00FB2D59">
            <w:pPr>
              <w:tabs>
                <w:tab w:val="left" w:pos="450"/>
              </w:tabs>
              <w:spacing w:after="0" w:line="343" w:lineRule="auto"/>
              <w:ind w:left="248"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790" w:type="dxa"/>
          </w:tcPr>
          <w:p w14:paraId="73602C4E" w14:textId="52007DB9" w:rsidR="00BE17DB" w:rsidRPr="00607CCD" w:rsidRDefault="00BE17DB" w:rsidP="00FB2D59">
            <w:pPr>
              <w:suppressAutoHyphens/>
              <w:spacing w:after="0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Datos basados en casos para la salud humana</w:t>
            </w:r>
          </w:p>
        </w:tc>
        <w:tc>
          <w:tcPr>
            <w:tcW w:w="2340" w:type="dxa"/>
          </w:tcPr>
          <w:p w14:paraId="5B6E68AF" w14:textId="77E3F54D" w:rsidR="00BE17DB" w:rsidRPr="00607CCD" w:rsidRDefault="00BE17DB" w:rsidP="00FB2D59">
            <w:pPr>
              <w:suppressAutoHyphens/>
              <w:spacing w:after="0"/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Basado en Internet, con capacidad limitada en los estados</w:t>
            </w:r>
          </w:p>
        </w:tc>
        <w:tc>
          <w:tcPr>
            <w:tcW w:w="3775" w:type="dxa"/>
          </w:tcPr>
          <w:p w14:paraId="35B2F33E" w14:textId="7F4675AB" w:rsidR="00BE17DB" w:rsidRPr="00607CCD" w:rsidRDefault="00BE17DB" w:rsidP="00FB2D59">
            <w:pPr>
              <w:suppressAutoHyphens/>
              <w:spacing w:after="0"/>
              <w:ind w:left="128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Una fuente de datos para la vigilancia basada en indicadores, que se puede utilizar para determinar la fecha de detección de enfermedades endémicas.</w:t>
            </w:r>
          </w:p>
        </w:tc>
      </w:tr>
      <w:tr w:rsidR="00BE17DB" w:rsidRPr="00BE17DB" w14:paraId="50F90E67" w14:textId="2D2A5A0E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62EE6F" w14:textId="4A649006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3361CBBA" w14:textId="0E510ACB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D16946" w14:textId="678D82B0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C07FF2" w14:textId="57B69FB3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CD9E55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73FF527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4BED30CD" w14:textId="3BAC9D94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AA54B1" w14:textId="0EF618F0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0A8001E4" w14:textId="5617BBD3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BD53768" w14:textId="3ADB8F80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B77BB" w14:textId="14196D2C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260A62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6946B8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6C2FB40A" w14:textId="5FCAB0A5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7609A7" w14:textId="1227721A" w:rsidR="00BE17DB" w:rsidRPr="00BE17DB" w:rsidRDefault="00BE17DB" w:rsidP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7C5D3C0F" w14:textId="5F9AFBB1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D5F6F9" w14:textId="141CFB1E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707B1B" w14:textId="2E7DEDFA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E7A5CB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AD0669D" w14:textId="77777777" w:rsidR="00BE17DB" w:rsidRPr="00BE17DB" w:rsidRDefault="00BE17DB" w:rsidP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67A4B29C" w14:textId="77777777" w:rsidR="00BE17DB" w:rsidRDefault="00BE17DB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6BA6590B" w14:textId="77777777" w:rsidR="004D3E8F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0A2BE812" w14:textId="77777777" w:rsidR="00577689" w:rsidRDefault="00577689" w:rsidP="00F07E2F">
      <w:pPr>
        <w:tabs>
          <w:tab w:val="right" w:pos="14400"/>
        </w:tabs>
        <w:rPr>
          <w:rFonts w:ascii="Arial" w:eastAsia="PublicSans-Thin" w:hAnsi="Arial" w:cs="Arial"/>
          <w:sz w:val="20"/>
          <w:szCs w:val="20"/>
        </w:rPr>
      </w:pPr>
    </w:p>
    <w:p w14:paraId="6C2B0C4E" w14:textId="7DD9089A" w:rsidR="004D3E8F" w:rsidRDefault="00F07E2F" w:rsidP="00F07E2F">
      <w:pPr>
        <w:tabs>
          <w:tab w:val="right" w:pos="14400"/>
        </w:tabs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55DA6DF8" w14:textId="6B213DB8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Enumere las plataformas existentes utilizadas para notificar a las partes interesadas en salud pública después de que se haya detectado un evento.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BE17DB" w:rsidRPr="00BE17DB" w14:paraId="2E6108A5" w14:textId="7777777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4DEFAF36" w14:textId="77777777" w:rsidR="00BE17DB" w:rsidRPr="00BE17DB" w:rsidRDefault="00BE17DB" w:rsidP="00CE6394">
            <w:pPr>
              <w:suppressAutoHyphens/>
              <w:ind w:right="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del sistema</w:t>
            </w:r>
          </w:p>
        </w:tc>
        <w:tc>
          <w:tcPr>
            <w:tcW w:w="2564" w:type="dxa"/>
            <w:vAlign w:val="center"/>
          </w:tcPr>
          <w:p w14:paraId="7F217997" w14:textId="77777777" w:rsidR="00BE17DB" w:rsidRPr="00BE17DB" w:rsidRDefault="00BE17DB" w:rsidP="00CE6394">
            <w:pPr>
              <w:snapToGrid w:val="0"/>
              <w:spacing w:before="240" w:line="288" w:lineRule="auto"/>
              <w:ind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Propósito/descripción del sistema</w:t>
            </w:r>
          </w:p>
        </w:tc>
        <w:tc>
          <w:tcPr>
            <w:tcW w:w="1351" w:type="dxa"/>
            <w:vAlign w:val="center"/>
          </w:tcPr>
          <w:p w14:paraId="424280EE" w14:textId="77777777" w:rsidR="00BE17DB" w:rsidRPr="00BE17DB" w:rsidRDefault="00BE17DB" w:rsidP="00CE6394">
            <w:pPr>
              <w:snapToGrid w:val="0"/>
              <w:spacing w:before="240" w:line="288" w:lineRule="auto"/>
              <w:ind w:left="0"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Propietario del sistema</w:t>
            </w:r>
          </w:p>
        </w:tc>
        <w:tc>
          <w:tcPr>
            <w:tcW w:w="2790" w:type="dxa"/>
            <w:vAlign w:val="center"/>
          </w:tcPr>
          <w:p w14:paraId="4B88AC5B" w14:textId="33B46DFB" w:rsidR="00BE17DB" w:rsidRPr="00BE17DB" w:rsidRDefault="00FB2D59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Frecuencia de informes</w:t>
            </w:r>
          </w:p>
        </w:tc>
        <w:tc>
          <w:tcPr>
            <w:tcW w:w="2430" w:type="dxa"/>
            <w:vAlign w:val="center"/>
          </w:tcPr>
          <w:p w14:paraId="5548F29A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Limitaciones del sistema</w:t>
            </w:r>
          </w:p>
        </w:tc>
        <w:tc>
          <w:tcPr>
            <w:tcW w:w="3685" w:type="dxa"/>
            <w:vAlign w:val="center"/>
          </w:tcPr>
          <w:p w14:paraId="6A8FEC16" w14:textId="77777777" w:rsidR="00BE17DB" w:rsidRPr="00FB2D59" w:rsidRDefault="00BE17DB" w:rsidP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Relevancia para 7-1-7</w:t>
            </w:r>
          </w:p>
        </w:tc>
      </w:tr>
      <w:tr w:rsidR="00FB2D59" w:rsidRPr="00BE17DB" w14:paraId="76CB550B" w14:textId="77777777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B95770F" w14:textId="271812E9" w:rsidR="00FB2D59" w:rsidRPr="00607CCD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MANVX</w:t>
            </w:r>
          </w:p>
        </w:tc>
        <w:tc>
          <w:tcPr>
            <w:tcW w:w="2564" w:type="dxa"/>
          </w:tcPr>
          <w:p w14:paraId="1005617B" w14:textId="6BF489E4" w:rsidR="00FB2D59" w:rsidRPr="00607CCD" w:rsidRDefault="00FB2D59" w:rsidP="00CE6394">
            <w:pPr>
              <w:tabs>
                <w:tab w:val="left" w:pos="450"/>
              </w:tabs>
              <w:spacing w:before="100"/>
              <w:ind w:left="211" w:right="-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Una plataforma de informes basada en SMS para enfermedades notificables de inmediato</w:t>
            </w:r>
          </w:p>
        </w:tc>
        <w:tc>
          <w:tcPr>
            <w:tcW w:w="1351" w:type="dxa"/>
          </w:tcPr>
          <w:p w14:paraId="397955CB" w14:textId="743022CF" w:rsidR="00FB2D59" w:rsidRPr="00607CCD" w:rsidRDefault="00FB2D59" w:rsidP="00FB2D59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790" w:type="dxa"/>
          </w:tcPr>
          <w:p w14:paraId="7EDD29BB" w14:textId="20334CD4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Inmediato</w:t>
            </w:r>
          </w:p>
        </w:tc>
        <w:tc>
          <w:tcPr>
            <w:tcW w:w="2430" w:type="dxa"/>
          </w:tcPr>
          <w:p w14:paraId="0596D4BC" w14:textId="743CC09C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Cobertura de red deficiente en algunos distritos</w:t>
            </w:r>
          </w:p>
        </w:tc>
        <w:tc>
          <w:tcPr>
            <w:tcW w:w="3685" w:type="dxa"/>
          </w:tcPr>
          <w:p w14:paraId="066BF60F" w14:textId="37E1E81C" w:rsidR="00FB2D59" w:rsidRPr="00607CCD" w:rsidRDefault="00FB2D59" w:rsidP="00FB2D59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Esta será una fuente de datos importante para las métricas de detección y notificación</w:t>
            </w:r>
          </w:p>
        </w:tc>
      </w:tr>
      <w:tr w:rsidR="00BE17DB" w:rsidRPr="00BE17DB" w14:paraId="317C34E5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18A7EA7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6929D004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41E135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D84A3F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4A5065D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F1EF7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3F38A816" w14:textId="77777777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0506036C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52BDEB9F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B05251A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6D3753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06609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873CE9" w14:textId="77777777" w:rsidR="00BE17DB" w:rsidRPr="00BE17DB" w:rsidRDefault="00BE17DB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BE17DB" w:rsidRPr="00BE17DB" w14:paraId="7474125A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B952DFA" w14:textId="77777777" w:rsidR="00BE17DB" w:rsidRPr="00BE17DB" w:rsidRDefault="00BE17DB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11D5CB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8439DE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50D292B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F11B55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B25503" w14:textId="77777777" w:rsidR="00BE17DB" w:rsidRPr="00BE17DB" w:rsidRDefault="00BE17DB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3C50DDB6" w14:textId="77777777" w:rsidR="00BE17DB" w:rsidRPr="00BE17DB" w:rsidRDefault="00BE17DB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498659B2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37B9984A" w14:textId="278AF5CC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Enumere las plataformas existentes, ya sean electrónicas o en papel (sistemas, bases de datos, informes, herramientas) que recopilan información sobre las medidas de respuesta.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FB2D59" w:rsidRPr="00BE17DB" w14:paraId="20BDD0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512C1E08" w14:textId="77777777" w:rsidR="00FB2D59" w:rsidRPr="00BE17DB" w:rsidRDefault="00FB2D59" w:rsidP="00CE6394">
            <w:pPr>
              <w:suppressAutoHyphens/>
              <w:ind w:right="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del sistema</w:t>
            </w:r>
          </w:p>
        </w:tc>
        <w:tc>
          <w:tcPr>
            <w:tcW w:w="2564" w:type="dxa"/>
            <w:vAlign w:val="center"/>
          </w:tcPr>
          <w:p w14:paraId="2488FF09" w14:textId="77777777" w:rsidR="00FB2D59" w:rsidRPr="00BE17DB" w:rsidRDefault="00FB2D59" w:rsidP="00CE6394">
            <w:pPr>
              <w:snapToGrid w:val="0"/>
              <w:spacing w:before="240" w:line="288" w:lineRule="auto"/>
              <w:ind w:right="-8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Propósito/descripción del sistema</w:t>
            </w:r>
          </w:p>
        </w:tc>
        <w:tc>
          <w:tcPr>
            <w:tcW w:w="1351" w:type="dxa"/>
            <w:vAlign w:val="center"/>
          </w:tcPr>
          <w:p w14:paraId="36ACC5DA" w14:textId="77777777" w:rsidR="00FB2D59" w:rsidRPr="00BE17DB" w:rsidRDefault="00FB2D59" w:rsidP="00CE6394">
            <w:pPr>
              <w:snapToGrid w:val="0"/>
              <w:spacing w:before="240" w:line="288" w:lineRule="auto"/>
              <w:ind w:left="0"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Propietario del sistema</w:t>
            </w:r>
          </w:p>
        </w:tc>
        <w:tc>
          <w:tcPr>
            <w:tcW w:w="2790" w:type="dxa"/>
            <w:vAlign w:val="center"/>
          </w:tcPr>
          <w:p w14:paraId="1D2EFDE9" w14:textId="78B82D70" w:rsidR="00FB2D59" w:rsidRPr="00BE17DB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Datos relevantes recopilados</w:t>
            </w:r>
          </w:p>
        </w:tc>
        <w:tc>
          <w:tcPr>
            <w:tcW w:w="2430" w:type="dxa"/>
            <w:vAlign w:val="center"/>
          </w:tcPr>
          <w:p w14:paraId="2ECF9296" w14:textId="77777777" w:rsidR="00FB2D59" w:rsidRPr="00FB2D59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Limitaciones del sistema</w:t>
            </w:r>
          </w:p>
        </w:tc>
        <w:tc>
          <w:tcPr>
            <w:tcW w:w="3685" w:type="dxa"/>
            <w:vAlign w:val="center"/>
          </w:tcPr>
          <w:p w14:paraId="6C374E25" w14:textId="77777777" w:rsidR="00FB2D59" w:rsidRPr="00FB2D59" w:rsidRDefault="00FB2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Relevancia para 7-1-7</w:t>
            </w:r>
          </w:p>
        </w:tc>
      </w:tr>
      <w:tr w:rsidR="00FB2D59" w:rsidRPr="00BE17DB" w14:paraId="3C9FEB8D" w14:textId="77777777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2CF4063B" w14:textId="47102B9D" w:rsidR="00FB2D59" w:rsidRPr="00607CCD" w:rsidRDefault="00FB2D59" w:rsidP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Informes RRT</w:t>
            </w:r>
          </w:p>
        </w:tc>
        <w:tc>
          <w:tcPr>
            <w:tcW w:w="2564" w:type="dxa"/>
          </w:tcPr>
          <w:p w14:paraId="289FCF77" w14:textId="60F94A8A" w:rsidR="00FB2D59" w:rsidRPr="00607CCD" w:rsidRDefault="00FB2D59" w:rsidP="00FB2D59">
            <w:pPr>
              <w:tabs>
                <w:tab w:val="left" w:pos="450"/>
              </w:tabs>
              <w:spacing w:before="100"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Presentado por los equipos de respuesta rápida después de su despliegue para investigar un evento.</w:t>
            </w:r>
          </w:p>
        </w:tc>
        <w:tc>
          <w:tcPr>
            <w:tcW w:w="1351" w:type="dxa"/>
          </w:tcPr>
          <w:p w14:paraId="15E6CD64" w14:textId="5648A14F" w:rsidR="00FB2D59" w:rsidRPr="00607CCD" w:rsidRDefault="00FB2D59" w:rsidP="00FB2D59">
            <w:pPr>
              <w:tabs>
                <w:tab w:val="left" w:pos="450"/>
              </w:tabs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NPHI, regiones</w:t>
            </w:r>
          </w:p>
        </w:tc>
        <w:tc>
          <w:tcPr>
            <w:tcW w:w="2790" w:type="dxa"/>
          </w:tcPr>
          <w:p w14:paraId="526241E7" w14:textId="1AFFEE97" w:rsidR="00FB2D59" w:rsidRPr="00607CCD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Fechas de aparición, detección y notificación</w:t>
            </w:r>
          </w:p>
        </w:tc>
        <w:tc>
          <w:tcPr>
            <w:tcW w:w="2430" w:type="dxa"/>
          </w:tcPr>
          <w:p w14:paraId="1E872D30" w14:textId="6FF1AF50" w:rsidR="00FB2D59" w:rsidRPr="00607CCD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Los RRT se implementan a nivel estatal o nacional, por lo que la calidad varía; no existe un archivo sistemático de informes.</w:t>
            </w:r>
          </w:p>
        </w:tc>
        <w:tc>
          <w:tcPr>
            <w:tcW w:w="3685" w:type="dxa"/>
          </w:tcPr>
          <w:p w14:paraId="42DD3DFD" w14:textId="091F1B60" w:rsidR="00FB2D59" w:rsidRPr="00607CCD" w:rsidRDefault="00FB2D59" w:rsidP="00FB2D59">
            <w:pPr>
              <w:suppressAutoHyphens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Los informes del RRT proporcionan un repositorio para las fechas de aparición, notificación y algunas medidas de respuesta.</w:t>
            </w:r>
          </w:p>
        </w:tc>
      </w:tr>
      <w:tr w:rsidR="00FB2D59" w:rsidRPr="00BE17DB" w14:paraId="0232527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E1C557D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00089161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DD81B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8618D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6301E4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4C4CFC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40A9FF0C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F935150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31A343FB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F73BD76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384A6E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8C53BF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75B4E7" w14:textId="77777777" w:rsidR="00FB2D59" w:rsidRPr="00BE17DB" w:rsidRDefault="00FB2D59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FB2D59" w:rsidRPr="00BE17DB" w14:paraId="1F8A18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4AA563C" w14:textId="77777777" w:rsidR="00FB2D59" w:rsidRPr="00BE17DB" w:rsidRDefault="00FB2D59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BB24B3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77BA5E5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9804E0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FF88A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EA704" w14:textId="77777777" w:rsidR="00FB2D59" w:rsidRPr="00BE17DB" w:rsidRDefault="00FB2D59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786B8DCE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p w14:paraId="370A619E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66141683" w14:textId="2F131DD9" w:rsidR="00BE17DB" w:rsidRDefault="00BE17DB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Enumere las reuniones existentes que se utilizan para coordinar y convocar a las partes interesadas relevantes para la detección, la notificación y la respuesta a brotes. 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2520"/>
        <w:gridCol w:w="1530"/>
        <w:gridCol w:w="2070"/>
        <w:gridCol w:w="2160"/>
        <w:gridCol w:w="3145"/>
      </w:tblGrid>
      <w:tr w:rsidR="004D3E8F" w:rsidRPr="00BE17DB" w14:paraId="5D0EF18B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D312CAB" w14:textId="77777777" w:rsidR="004D3E8F" w:rsidRPr="00BE17DB" w:rsidRDefault="004D3E8F" w:rsidP="00BD1A13">
            <w:pPr>
              <w:suppressAutoHyphens/>
              <w:ind w:right="-133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del sistema</w:t>
            </w:r>
          </w:p>
        </w:tc>
        <w:tc>
          <w:tcPr>
            <w:tcW w:w="1440" w:type="dxa"/>
            <w:vAlign w:val="center"/>
          </w:tcPr>
          <w:p w14:paraId="128B7BBC" w14:textId="507C74CC" w:rsidR="004D3E8F" w:rsidRPr="00BE17DB" w:rsidRDefault="004D3E8F" w:rsidP="00BD1A13">
            <w:pPr>
              <w:snapToGrid w:val="0"/>
              <w:spacing w:before="240" w:line="288" w:lineRule="auto"/>
              <w:ind w:left="0" w:right="-11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Organizador</w:t>
            </w:r>
          </w:p>
        </w:tc>
        <w:tc>
          <w:tcPr>
            <w:tcW w:w="2520" w:type="dxa"/>
            <w:vAlign w:val="center"/>
          </w:tcPr>
          <w:p w14:paraId="0C168616" w14:textId="680725A5" w:rsidR="004D3E8F" w:rsidRPr="00BE17DB" w:rsidRDefault="004D3E8F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Propósito</w:t>
            </w:r>
          </w:p>
        </w:tc>
        <w:tc>
          <w:tcPr>
            <w:tcW w:w="1530" w:type="dxa"/>
            <w:vAlign w:val="center"/>
          </w:tcPr>
          <w:p w14:paraId="5722A29A" w14:textId="324F8629" w:rsidR="004D3E8F" w:rsidRPr="00BE17DB" w:rsidRDefault="004D3E8F" w:rsidP="00BD1A13">
            <w:pPr>
              <w:ind w:lef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Frecuencia</w:t>
            </w:r>
          </w:p>
        </w:tc>
        <w:tc>
          <w:tcPr>
            <w:tcW w:w="2070" w:type="dxa"/>
            <w:vAlign w:val="center"/>
          </w:tcPr>
          <w:p w14:paraId="66C4D904" w14:textId="2A2FFEE1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Asistentes</w:t>
            </w:r>
          </w:p>
        </w:tc>
        <w:tc>
          <w:tcPr>
            <w:tcW w:w="2160" w:type="dxa"/>
            <w:vAlign w:val="center"/>
          </w:tcPr>
          <w:p w14:paraId="5969C29D" w14:textId="1B4A55B5" w:rsidR="004D3E8F" w:rsidRPr="00FB2D59" w:rsidRDefault="004D3E8F" w:rsidP="004D3E8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Resultados de la reunión</w:t>
            </w:r>
          </w:p>
        </w:tc>
        <w:tc>
          <w:tcPr>
            <w:tcW w:w="3145" w:type="dxa"/>
            <w:vAlign w:val="center"/>
          </w:tcPr>
          <w:p w14:paraId="28C65DF3" w14:textId="63EEC0DD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Relevancia para 7-1-7</w:t>
            </w:r>
          </w:p>
        </w:tc>
      </w:tr>
      <w:tr w:rsidR="004D3E8F" w:rsidRPr="00BE17DB" w14:paraId="17AFEF2B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55392A" w14:textId="0401FFE2" w:rsidR="004D3E8F" w:rsidRPr="00BA17F4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Reunión semanal de PHEOC</w:t>
            </w:r>
          </w:p>
        </w:tc>
        <w:tc>
          <w:tcPr>
            <w:tcW w:w="1440" w:type="dxa"/>
          </w:tcPr>
          <w:p w14:paraId="5D7EC7AA" w14:textId="7822670D" w:rsidR="004D3E8F" w:rsidRPr="00BA17F4" w:rsidRDefault="004D3E8F" w:rsidP="004D3E8F">
            <w:pPr>
              <w:tabs>
                <w:tab w:val="left" w:pos="450"/>
              </w:tabs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NPHI</w:t>
            </w:r>
          </w:p>
        </w:tc>
        <w:tc>
          <w:tcPr>
            <w:tcW w:w="2520" w:type="dxa"/>
          </w:tcPr>
          <w:p w14:paraId="63BEA291" w14:textId="3B360C39" w:rsidR="004D3E8F" w:rsidRPr="00BA17F4" w:rsidRDefault="004D3E8F" w:rsidP="004D3E8F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Para revisar la amenaza de eventos de salud pública y hacer un seguimiento de las medidas de respuesta previas.</w:t>
            </w:r>
          </w:p>
        </w:tc>
        <w:tc>
          <w:tcPr>
            <w:tcW w:w="1530" w:type="dxa"/>
          </w:tcPr>
          <w:p w14:paraId="236F7E67" w14:textId="7552C051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Semanal</w:t>
            </w:r>
          </w:p>
        </w:tc>
        <w:tc>
          <w:tcPr>
            <w:tcW w:w="2070" w:type="dxa"/>
          </w:tcPr>
          <w:p w14:paraId="0750F436" w14:textId="20E16F50" w:rsidR="004D3E8F" w:rsidRPr="00BA17F4" w:rsidRDefault="004D3E8F" w:rsidP="00BD1A13">
            <w:pPr>
              <w:suppressAutoHyphens/>
              <w:spacing w:after="360"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Alta dirección de NPHI, representantes de Una Sola Salud</w:t>
            </w:r>
          </w:p>
        </w:tc>
        <w:tc>
          <w:tcPr>
            <w:tcW w:w="2160" w:type="dxa"/>
          </w:tcPr>
          <w:p w14:paraId="6527A6B1" w14:textId="7CD000D5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Boletín semanal de respuestas</w:t>
            </w:r>
          </w:p>
        </w:tc>
        <w:tc>
          <w:tcPr>
            <w:tcW w:w="3145" w:type="dxa"/>
          </w:tcPr>
          <w:p w14:paraId="47B57756" w14:textId="36025527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Esto puede servir como una excelente plataforma para la revisión en tiempo real del desempeño de 7-1-7.</w:t>
            </w:r>
          </w:p>
        </w:tc>
      </w:tr>
      <w:tr w:rsidR="004D3E8F" w:rsidRPr="00BE17DB" w14:paraId="1C24A048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76FE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7159D6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4333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2A2DE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30F294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AE487B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DD6FFEA" w14:textId="3D32B09D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45F24A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25AFB1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74D1E25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E59AB8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D60A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20EDE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B918FF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252D870" w14:textId="251F8189" w:rsidR="004D3E8F" w:rsidRPr="00BE17DB" w:rsidRDefault="004D3E8F" w:rsidP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74C15B6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6CE429" w14:textId="77777777" w:rsidR="004D3E8F" w:rsidRPr="00BE17DB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17A0396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E873BA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AC5F12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C7E75E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D03C40" w14:textId="77777777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303D2F8" w14:textId="0C00B945" w:rsidR="004D3E8F" w:rsidRPr="00BE17DB" w:rsidRDefault="004D3E8F" w:rsidP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0D115687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ind w:left="648"/>
        <w:rPr>
          <w:rFonts w:ascii="Arial" w:eastAsia="PublicSans-Thin" w:hAnsi="Arial" w:cs="Arial"/>
          <w:sz w:val="20"/>
          <w:szCs w:val="20"/>
        </w:rPr>
      </w:pPr>
    </w:p>
    <w:p w14:paraId="087081B8" w14:textId="77777777" w:rsidR="008236AE" w:rsidRDefault="008236AE">
      <w:pPr>
        <w:rPr>
          <w:rFonts w:ascii="Arial" w:eastAsia="PublicSans-Thin" w:hAnsi="Arial" w:cs="Arial"/>
          <w:sz w:val="20"/>
          <w:szCs w:val="20"/>
        </w:rPr>
      </w:pPr>
      <w:r>
        <w:br w:type="page"/>
      </w:r>
    </w:p>
    <w:p w14:paraId="2BB0924E" w14:textId="5D60B481" w:rsidR="00BE17DB" w:rsidRPr="00BA17F4" w:rsidRDefault="00BE17DB" w:rsidP="00BA17F4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Enumere las reuniones existentes u otras plataformas para la planificación y el financiamiento (planes operativos anuales, revisiones mensuales, reuniones de presupuestación, Planes de Acción Nacionales para la Seguridad en Salud o NAPHS).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980"/>
        <w:gridCol w:w="1530"/>
        <w:gridCol w:w="2430"/>
        <w:gridCol w:w="1890"/>
        <w:gridCol w:w="3505"/>
      </w:tblGrid>
      <w:tr w:rsidR="004D3E8F" w:rsidRPr="00BE17DB" w14:paraId="09D31260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F47CF63" w14:textId="39D12B93" w:rsidR="004D3E8F" w:rsidRPr="00BE17DB" w:rsidRDefault="004D3E8F" w:rsidP="00BD1A13">
            <w:pPr>
              <w:suppressAutoHyphens/>
              <w:ind w:right="0"/>
              <w:rPr>
                <w:rFonts w:eastAsia="PublicSans-Thin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 la reunión</w:t>
            </w:r>
          </w:p>
        </w:tc>
        <w:tc>
          <w:tcPr>
            <w:tcW w:w="1440" w:type="dxa"/>
            <w:vAlign w:val="center"/>
          </w:tcPr>
          <w:p w14:paraId="40EBEF18" w14:textId="3DBA99FB" w:rsidR="004D3E8F" w:rsidRPr="00BE17DB" w:rsidRDefault="004D3E8F" w:rsidP="00BD1A13">
            <w:pPr>
              <w:snapToGrid w:val="0"/>
              <w:spacing w:before="240" w:line="288" w:lineRule="auto"/>
              <w:ind w:left="0" w:right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Organizador</w:t>
            </w:r>
          </w:p>
        </w:tc>
        <w:tc>
          <w:tcPr>
            <w:tcW w:w="1980" w:type="dxa"/>
            <w:vAlign w:val="center"/>
          </w:tcPr>
          <w:p w14:paraId="3640354D" w14:textId="64F83970" w:rsidR="004D3E8F" w:rsidRPr="00BE17DB" w:rsidRDefault="004D3E8F">
            <w:pPr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Propósito</w:t>
            </w:r>
          </w:p>
        </w:tc>
        <w:tc>
          <w:tcPr>
            <w:tcW w:w="1530" w:type="dxa"/>
            <w:vAlign w:val="center"/>
          </w:tcPr>
          <w:p w14:paraId="58498CAF" w14:textId="0C48F13C" w:rsidR="004D3E8F" w:rsidRPr="00BE17DB" w:rsidRDefault="004D3E8F" w:rsidP="00BD1A13">
            <w:pPr>
              <w:ind w:left="0" w:right="-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Frecuencia (indicar mes para reuniones anuales)</w:t>
            </w:r>
          </w:p>
        </w:tc>
        <w:tc>
          <w:tcPr>
            <w:tcW w:w="2430" w:type="dxa"/>
            <w:vAlign w:val="center"/>
          </w:tcPr>
          <w:p w14:paraId="18A6FAE1" w14:textId="1036EBE5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Asistentes</w:t>
            </w:r>
          </w:p>
        </w:tc>
        <w:tc>
          <w:tcPr>
            <w:tcW w:w="1890" w:type="dxa"/>
            <w:vAlign w:val="center"/>
          </w:tcPr>
          <w:p w14:paraId="45D66B61" w14:textId="138382DA" w:rsidR="004D3E8F" w:rsidRPr="00FB2D59" w:rsidRDefault="004D3E8F" w:rsidP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Resultados de la reunión</w:t>
            </w:r>
          </w:p>
        </w:tc>
        <w:tc>
          <w:tcPr>
            <w:tcW w:w="3505" w:type="dxa"/>
            <w:vAlign w:val="center"/>
          </w:tcPr>
          <w:p w14:paraId="58F35364" w14:textId="032BE3FF" w:rsidR="004D3E8F" w:rsidRPr="00FB2D59" w:rsidRDefault="004D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Relevancia para 7-1-7</w:t>
            </w:r>
          </w:p>
        </w:tc>
      </w:tr>
      <w:tr w:rsidR="004D3E8F" w:rsidRPr="00BE17DB" w14:paraId="2FCF4F45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74A7B3" w14:textId="249ED95B" w:rsidR="004D3E8F" w:rsidRPr="00BA17F4" w:rsidRDefault="004D3E8F" w:rsidP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color w:val="A6A6A6" w:themeColor="background1" w:themeShade="A6"/>
                <w:sz w:val="20"/>
              </w:rPr>
              <w:t>IHR TWG</w:t>
            </w:r>
          </w:p>
        </w:tc>
        <w:tc>
          <w:tcPr>
            <w:tcW w:w="1440" w:type="dxa"/>
          </w:tcPr>
          <w:p w14:paraId="735221B1" w14:textId="751C585B" w:rsidR="004D3E8F" w:rsidRPr="00BA17F4" w:rsidRDefault="004D3E8F" w:rsidP="00BD1A13">
            <w:pPr>
              <w:spacing w:before="100"/>
              <w:ind w:left="-31" w:right="-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Oficina del Vicepresidente</w:t>
            </w:r>
          </w:p>
        </w:tc>
        <w:tc>
          <w:tcPr>
            <w:tcW w:w="1980" w:type="dxa"/>
          </w:tcPr>
          <w:p w14:paraId="30E36ED3" w14:textId="6FFB6D69" w:rsidR="004D3E8F" w:rsidRPr="00BA17F4" w:rsidRDefault="004D3E8F" w:rsidP="004D3E8F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Revisión del progreso de la implementación nacional de IHR/NAPHS</w:t>
            </w:r>
          </w:p>
        </w:tc>
        <w:tc>
          <w:tcPr>
            <w:tcW w:w="1530" w:type="dxa"/>
          </w:tcPr>
          <w:p w14:paraId="201F6CB2" w14:textId="17EC6227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Trimestral</w:t>
            </w:r>
          </w:p>
        </w:tc>
        <w:tc>
          <w:tcPr>
            <w:tcW w:w="2430" w:type="dxa"/>
          </w:tcPr>
          <w:p w14:paraId="7099AC8C" w14:textId="1E290916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El Vicepresidente, Ministros (Salud, Agricultura, Medioambiente)</w:t>
            </w:r>
          </w:p>
        </w:tc>
        <w:tc>
          <w:tcPr>
            <w:tcW w:w="1890" w:type="dxa"/>
          </w:tcPr>
          <w:p w14:paraId="7A2AF7AA" w14:textId="3AB7780A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 xml:space="preserve">Boletines trimestrales </w:t>
            </w:r>
            <w:r w:rsidR="00BD1A13">
              <w:rPr>
                <w:color w:val="A6A6A6" w:themeColor="background1" w:themeShade="A6"/>
                <w:sz w:val="20"/>
              </w:rPr>
              <w:br/>
            </w:r>
            <w:r>
              <w:rPr>
                <w:color w:val="A6A6A6" w:themeColor="background1" w:themeShade="A6"/>
                <w:sz w:val="20"/>
              </w:rPr>
              <w:t>de IHR</w:t>
            </w:r>
          </w:p>
        </w:tc>
        <w:tc>
          <w:tcPr>
            <w:tcW w:w="3505" w:type="dxa"/>
          </w:tcPr>
          <w:p w14:paraId="527D666D" w14:textId="32757620" w:rsidR="004D3E8F" w:rsidRPr="00BA17F4" w:rsidRDefault="004D3E8F" w:rsidP="004D3E8F">
            <w:pPr>
              <w:suppressAutoHyphens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</w:rPr>
              <w:t>Considere la integración de medidas correctivas a largo plazo de 7-1-7.</w:t>
            </w:r>
          </w:p>
        </w:tc>
      </w:tr>
      <w:tr w:rsidR="004D3E8F" w:rsidRPr="00BE17DB" w14:paraId="2A788B4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20E495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BEDEBC9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7B7F0C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C5C0F5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88496D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10805D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175ACF1" w14:textId="5D6C2D3E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3FF5FB14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848BBE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0F1ED84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18D3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041E0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0197BD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82F86" w14:textId="77777777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126FE49" w14:textId="0619254A" w:rsidR="004D3E8F" w:rsidRPr="00BE17DB" w:rsidRDefault="004D3E8F">
            <w:pPr>
              <w:suppressAutoHyphens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  <w:tr w:rsidR="004D3E8F" w:rsidRPr="00BE17DB" w14:paraId="1B0E7CAF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AE0FD2" w14:textId="77777777" w:rsidR="004D3E8F" w:rsidRPr="00BE17DB" w:rsidRDefault="004D3E8F">
            <w:pPr>
              <w:snapToGrid w:val="0"/>
              <w:spacing w:before="240"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2A1D828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EE73CF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DDC103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4270D2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7CB963" w14:textId="77777777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CEF153D" w14:textId="6E03DE86" w:rsidR="004D3E8F" w:rsidRPr="00BE17DB" w:rsidRDefault="004D3E8F">
            <w:pPr>
              <w:suppressAutoHyphens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</w:rPr>
            </w:pPr>
          </w:p>
        </w:tc>
      </w:tr>
    </w:tbl>
    <w:p w14:paraId="462CC9D5" w14:textId="77777777" w:rsidR="00FB2D59" w:rsidRPr="00BE17DB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</w:rPr>
      </w:pPr>
    </w:p>
    <w:sectPr w:rsidR="00FB2D59" w:rsidRPr="00BE17DB" w:rsidSect="00BE17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F1B9" w14:textId="77777777" w:rsidR="00D57860" w:rsidRDefault="00D57860" w:rsidP="00BE17DB">
      <w:pPr>
        <w:spacing w:after="0" w:line="240" w:lineRule="auto"/>
      </w:pPr>
      <w:r>
        <w:separator/>
      </w:r>
    </w:p>
  </w:endnote>
  <w:endnote w:type="continuationSeparator" w:id="0">
    <w:p w14:paraId="4FB2DD96" w14:textId="77777777" w:rsidR="00D57860" w:rsidRDefault="00D57860" w:rsidP="00BE17DB">
      <w:pPr>
        <w:spacing w:after="0" w:line="240" w:lineRule="auto"/>
      </w:pPr>
      <w:r>
        <w:continuationSeparator/>
      </w:r>
    </w:p>
  </w:endnote>
  <w:endnote w:type="continuationNotice" w:id="1">
    <w:p w14:paraId="3A24CA5C" w14:textId="77777777" w:rsidR="00D57860" w:rsidRDefault="00D57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Sans-Thin">
    <w:altName w:val="Calibri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rlowCondensed-SemiBold">
    <w:altName w:val="Calibri"/>
    <w:charset w:val="4D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0769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60AB0C" w14:textId="2ABC0764" w:rsidR="009E0B59" w:rsidRDefault="009E0B59" w:rsidP="003421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317BA0" w14:textId="77777777" w:rsidR="009E0B59" w:rsidRDefault="009E0B59" w:rsidP="009E0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07659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4"/>
        <w:szCs w:val="14"/>
      </w:rPr>
    </w:sdtEndPr>
    <w:sdtContent>
      <w:p w14:paraId="5CEDC96F" w14:textId="441277A7" w:rsidR="009E0B59" w:rsidRPr="009E0B59" w:rsidRDefault="009E0B59" w:rsidP="0034211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4"/>
            <w:szCs w:val="14"/>
          </w:rPr>
        </w:pPr>
        <w:r w:rsidRPr="009E0B59">
          <w:rPr>
            <w:rStyle w:val="PageNumber"/>
            <w:rFonts w:ascii="Arial" w:hAnsi="Arial" w:cs="Arial"/>
            <w:sz w:val="14"/>
            <w:szCs w:val="14"/>
          </w:rPr>
          <w:fldChar w:fldCharType="begin"/>
        </w:r>
        <w:r w:rsidRPr="009E0B59">
          <w:rPr>
            <w:rStyle w:val="PageNumber"/>
            <w:rFonts w:ascii="Arial" w:hAnsi="Arial" w:cs="Arial"/>
            <w:sz w:val="14"/>
            <w:szCs w:val="14"/>
          </w:rPr>
          <w:instrText xml:space="preserve"> PAGE </w:instrText>
        </w:r>
        <w:r w:rsidRPr="009E0B59">
          <w:rPr>
            <w:rStyle w:val="PageNumber"/>
            <w:rFonts w:ascii="Arial" w:hAnsi="Arial" w:cs="Arial"/>
            <w:sz w:val="14"/>
            <w:szCs w:val="14"/>
          </w:rPr>
          <w:fldChar w:fldCharType="separate"/>
        </w:r>
        <w:r w:rsidRPr="009E0B59">
          <w:rPr>
            <w:rStyle w:val="PageNumber"/>
            <w:rFonts w:ascii="Arial" w:hAnsi="Arial" w:cs="Arial"/>
            <w:sz w:val="14"/>
            <w:szCs w:val="14"/>
          </w:rPr>
          <w:t>2</w:t>
        </w:r>
        <w:r w:rsidRPr="009E0B59">
          <w:rPr>
            <w:rStyle w:val="PageNumber"/>
            <w:rFonts w:ascii="Arial" w:hAnsi="Arial" w:cs="Arial"/>
            <w:sz w:val="14"/>
            <w:szCs w:val="14"/>
          </w:rPr>
          <w:fldChar w:fldCharType="end"/>
        </w:r>
      </w:p>
    </w:sdtContent>
  </w:sdt>
  <w:p w14:paraId="26F9EC5F" w14:textId="77777777" w:rsidR="009E0B59" w:rsidRPr="009E0B59" w:rsidRDefault="009E0B59" w:rsidP="009E0B59">
    <w:pPr>
      <w:pStyle w:val="Footer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3E1" w14:textId="5759F81E" w:rsidR="00F07E2F" w:rsidRPr="00F07E2F" w:rsidRDefault="00F07E2F" w:rsidP="00F07E2F">
    <w:pPr>
      <w:pStyle w:val="Footer"/>
      <w:jc w:val="right"/>
      <w:rPr>
        <w:sz w:val="10"/>
        <w:szCs w:val="10"/>
      </w:rPr>
    </w:pPr>
    <w:r>
      <w:rPr>
        <w:sz w:val="10"/>
      </w:rPr>
      <w:t>V2 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A32E" w14:textId="77777777" w:rsidR="00D57860" w:rsidRDefault="00D57860" w:rsidP="00BE17DB">
      <w:pPr>
        <w:spacing w:after="0" w:line="240" w:lineRule="auto"/>
      </w:pPr>
      <w:r>
        <w:separator/>
      </w:r>
    </w:p>
  </w:footnote>
  <w:footnote w:type="continuationSeparator" w:id="0">
    <w:p w14:paraId="657C384A" w14:textId="77777777" w:rsidR="00D57860" w:rsidRDefault="00D57860" w:rsidP="00BE17DB">
      <w:pPr>
        <w:spacing w:after="0" w:line="240" w:lineRule="auto"/>
      </w:pPr>
      <w:r>
        <w:continuationSeparator/>
      </w:r>
    </w:p>
  </w:footnote>
  <w:footnote w:type="continuationNotice" w:id="1">
    <w:p w14:paraId="30098876" w14:textId="77777777" w:rsidR="00D57860" w:rsidRDefault="00D578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611F" w14:textId="12EE1ED9" w:rsidR="00BE17DB" w:rsidRPr="00BE17DB" w:rsidRDefault="009546F2" w:rsidP="00BE17DB">
    <w:pPr>
      <w:widowControl w:val="0"/>
      <w:autoSpaceDE w:val="0"/>
      <w:autoSpaceDN w:val="0"/>
      <w:spacing w:before="20" w:after="0" w:line="240" w:lineRule="auto"/>
      <w:rPr>
        <w:rFonts w:ascii="Arial" w:eastAsia="PublicSans-Thin" w:hAnsi="Arial" w:cs="Arial"/>
        <w:b/>
        <w:color w:val="3BB041"/>
        <w:sz w:val="15"/>
        <w:szCs w:val="15"/>
      </w:rPr>
    </w:pPr>
    <w:r>
      <w:rPr>
        <w:rFonts w:ascii="Arial" w:hAnsi="Arial"/>
        <w:b/>
        <w:color w:val="3BB041"/>
        <w:sz w:val="15"/>
      </w:rPr>
      <w:t>Herramienta de mapeo de sistemas existentes</w:t>
    </w:r>
  </w:p>
  <w:p w14:paraId="708393C9" w14:textId="521A61EF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02C988B3" w14:textId="592BE49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62F1" wp14:editId="19D74D33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42333"/>
              <wp:effectExtent l="0" t="0" r="1270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4233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1D0AC0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hIuwEAAGwDAAAOAAAAZHJzL2Uyb0RvYy54bWysU8tu2zAQvBfoPxC8x5IfbR3Bcg4x3EvT&#10;BmjyAWuKlAjwBS5j2X+fJeU6aXsr6gNN7i5nZ4ejzd3JGnaUEbV3LZ/Pas6kE77Trm/589P+Zs0Z&#10;JnAdGO9ky88S+d3244fNGBq58IM3nYyMQBw2Y2j5kFJoqgrFIC3gzAfpKKl8tJDoGPuqizASujXV&#10;oq4/V6OPXYheSESK7qYk3xZ8paRIP5RCmZhpOXFLZY1lPeS12m6g6SOEQYsLDfgHFha0o6ZXqB0k&#10;YC9R/wVltYgevUoz4W3lldJClhlomnn9xzQ/BwiyzELiYLjKhP8PVnw/3rvHSDKMARsMjzFPcVLR&#10;5n/ix05FrPNVLHlKTFDwdr5a1TVpKii3WiyXyyxm9XY5RExfpbcsb1putMuzQAPHb5im0l8lOez8&#10;XhtT3sM4NpKZFl8KPJAtlIFEnWzoWo6u5wxMT34TKRZI9EZ3+XoGwtgf7k1kR6A335dfKTIv9sF3&#10;U3j9KVOfSFzqC/ffgDK7HeAwXSmpyS9WJzKt0bbla8K5IhmX+8tiu8uMb6rm3cF35yJ2lU/0pKXp&#10;xX7ZM+/PtH//kWxfAQAA//8DAFBLAwQUAAYACAAAACEAwpoDFOAAAAALAQAADwAAAGRycy9kb3du&#10;cmV2LnhtbEyPQU/DMAyF70j8h8hIXNCWwqZudE0nxLQTuzC4cEsb01Y0TknStezX453gYtl+8vP7&#10;8u1kO3FCH1pHCu7nCQikypmWagXvb/vZGkSImozuHKGCHwywLa6vcp0ZN9Irno6xFmxCIdMKmhj7&#10;TMpQNWh1mLseibVP562OPPpaGq9HNredfEiSVFrdEn9odI/PDVZfx8EqKF+G9ozjeuEPYRXvPr7P&#10;4/6wU+r2ZtptuDxtQESc4t8FXBg4PxQcrHQDmSA6BUwTFaSPIC7icpnwouRukYIscvmfofgFAAD/&#10;/wMAUEsBAi0AFAAGAAgAAAAhALaDOJL+AAAA4QEAABMAAAAAAAAAAAAAAAAAAAAAAFtDb250ZW50&#10;X1R5cGVzXS54bWxQSwECLQAUAAYACAAAACEAOP0h/9YAAACUAQAACwAAAAAAAAAAAAAAAAAvAQAA&#10;X3JlbHMvLnJlbHNQSwECLQAUAAYACAAAACEAXadYSLsBAABsAwAADgAAAAAAAAAAAAAAAAAuAgAA&#10;ZHJzL2Uyb0RvYy54bWxQSwECLQAUAAYACAAAACEAwpoDFOAAAAALAQAADwAAAAAAAAAAAAAAAAAV&#10;BAAAZHJzL2Rvd25yZXYueG1sUEsFBgAAAAAEAAQA8wAAACIFAAAAAA==&#10;" strokecolor="#d9d9d9" strokeweight="1pt">
              <v:stroke joinstyle="miter"/>
            </v:line>
          </w:pict>
        </mc:Fallback>
      </mc:AlternateContent>
    </w:r>
  </w:p>
  <w:p w14:paraId="3F2626BB" w14:textId="77777777" w:rsidR="00BE17DB" w:rsidRDefault="00BE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BE6D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Times New Roman" w:hAnsi="Arial" w:cs="Times New Roman"/>
        <w:iCs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w:drawing>
        <wp:inline distT="0" distB="0" distL="0" distR="0" wp14:anchorId="2D22AB40" wp14:editId="26108141">
          <wp:extent cx="1778977" cy="287373"/>
          <wp:effectExtent l="0" t="0" r="0" b="5080"/>
          <wp:docPr id="1034243707" name="Picture 1034243707" descr="A black and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A black and green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</w:r>
    <w:r>
      <w:rPr>
        <w:rFonts w:ascii="Arial" w:hAnsi="Arial"/>
        <w:color w:val="3D9D45"/>
        <w:sz w:val="14"/>
      </w:rPr>
      <w:tab/>
      <w:t xml:space="preserve">            </w:t>
    </w:r>
    <w:hyperlink r:id="rId2" w:history="1">
      <w:r>
        <w:rPr>
          <w:rFonts w:ascii="Arial" w:hAnsi="Arial"/>
          <w:color w:val="3D9D45"/>
          <w:sz w:val="14"/>
        </w:rPr>
        <w:t>717alliance.org</w:t>
      </w:r>
    </w:hyperlink>
  </w:p>
  <w:p w14:paraId="21DE3716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2E3DE7B7" w14:textId="4F00FBE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>
      <w:rPr>
        <w:rFonts w:ascii="Arial" w:hAnsi="Arial"/>
        <w:noProof/>
        <w:color w:val="3D9D45"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3B6DA2" wp14:editId="12555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0"/>
              <wp:effectExtent l="0" t="0" r="12700" b="12700"/>
              <wp:wrapNone/>
              <wp:docPr id="710527434" name="Straight Connector 710527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E73DFCA" id="Straight Connector 710527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MtgEAAGgDAAAOAAAAZHJzL2Uyb0RvYy54bWysU8tu2zAQvBfoPxC8x5SNtHUFyznEcC99&#10;BGj6AWuKlAjwBS5j2X/fJeU4aXsr4gNN7i5nZ4ejzd3JWXZUCU3wHV8uGs6Ul6E3fuj4r8f9zZoz&#10;zOB7sMGrjp8V8rvt+3ebKbZqFcZge5UYgXhsp9jxMefYCoFyVA5wEaLylNQhOch0TIPoE0yE7qxY&#10;Nc1HMYXUxxSkQqTobk7ybcXXWsn8Q2tUmdmOE7dc11TXQ1nFdgPtkCCORl5owH+wcGA8Nb1C7SAD&#10;e0rmHyhnZAoYdF7I4ETQ2khVZ6Bpls1f0/wcIao6C4mD8SoTvh2s/H689w+JZJgithgfUpnipJMr&#10;/8SPnapY56tY6pSZpODn5e1t05Cm8jknXi7GhPmLCo6VTcet8WUOaOH4FTM1o9LnkhL2YW+srW9h&#10;PZvISKtPFRrIEtpCpi4u9h1HP3AGdiCvyZwqJAZr+nK9AGEaDvc2sSPQe+/rrxbZJ/ct9HN4/aHQ&#10;nklc6iuhP4AKux3gOF+pqdkrzmQyrDWu42vCuSJZX/qrarnLjC+Klt0h9OcqtCgnes7a9GK94pfX&#10;Z9q//kC2vwEAAP//AwBQSwMEFAAGAAgAAAAhAKl5XnjfAAAACgEAAA8AAABkcnMvZG93bnJldi54&#10;bWxMjzFPwzAQhXek/gfrKrEg6hSqUtI4FaLqRBcKC5sTH0nU+Bxspwn99VxZYDnp3tO9e1+2GW0r&#10;TuhD40jBfJaAQCqdaahS8P62u12BCFGT0a0jVPCNATb55CrTqXEDveLpECvBIRRSraCOsUulDGWN&#10;VoeZ65DY+3Te6sirr6TxeuBw28q7JFlKqxviD7Xu8LnG8njorYLipW/OOKzu/T48xJuPr/Ow22+V&#10;up6O2zWPpzWIiGP8u4ALA/eHnIsVricTRKuAaaKC5SOIi7lYJCwUv4LMM/kfIf8BAAD//wMAUEsB&#10;Ai0AFAAGAAgAAAAhALaDOJL+AAAA4QEAABMAAAAAAAAAAAAAAAAAAAAAAFtDb250ZW50X1R5cGVz&#10;XS54bWxQSwECLQAUAAYACAAAACEAOP0h/9YAAACUAQAACwAAAAAAAAAAAAAAAAAvAQAAX3JlbHMv&#10;LnJlbHNQSwECLQAUAAYACAAAACEAx0dbzLYBAABoAwAADgAAAAAAAAAAAAAAAAAuAgAAZHJzL2Uy&#10;b0RvYy54bWxQSwECLQAUAAYACAAAACEAqXleeN8AAAAKAQAADwAAAAAAAAAAAAAAAAAQBAAAZHJz&#10;L2Rvd25yZXYueG1sUEsFBgAAAAAEAAQA8wAAABwFAAAAAA==&#10;" strokecolor="#d9d9d9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C96"/>
    <w:multiLevelType w:val="hybridMultilevel"/>
    <w:tmpl w:val="84624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8590E"/>
    <w:multiLevelType w:val="hybridMultilevel"/>
    <w:tmpl w:val="72303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2FC"/>
    <w:multiLevelType w:val="hybridMultilevel"/>
    <w:tmpl w:val="3670AD34"/>
    <w:lvl w:ilvl="0" w:tplc="3EC0A4A8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392"/>
    <w:multiLevelType w:val="hybridMultilevel"/>
    <w:tmpl w:val="DEC0E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16C74"/>
    <w:multiLevelType w:val="hybridMultilevel"/>
    <w:tmpl w:val="3670AD3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4472C4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8912">
    <w:abstractNumId w:val="3"/>
  </w:num>
  <w:num w:numId="2" w16cid:durableId="218371287">
    <w:abstractNumId w:val="0"/>
  </w:num>
  <w:num w:numId="3" w16cid:durableId="1592659476">
    <w:abstractNumId w:val="1"/>
  </w:num>
  <w:num w:numId="4" w16cid:durableId="1578437548">
    <w:abstractNumId w:val="5"/>
  </w:num>
  <w:num w:numId="5" w16cid:durableId="99881438">
    <w:abstractNumId w:val="2"/>
  </w:num>
  <w:num w:numId="6" w16cid:durableId="1686591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A"/>
    <w:rsid w:val="000027B7"/>
    <w:rsid w:val="000668D5"/>
    <w:rsid w:val="00080AA2"/>
    <w:rsid w:val="000A478A"/>
    <w:rsid w:val="000D7165"/>
    <w:rsid w:val="001069BC"/>
    <w:rsid w:val="00133094"/>
    <w:rsid w:val="00144F5A"/>
    <w:rsid w:val="00173348"/>
    <w:rsid w:val="001A616F"/>
    <w:rsid w:val="001C5BF9"/>
    <w:rsid w:val="001D5241"/>
    <w:rsid w:val="001E2AAC"/>
    <w:rsid w:val="001F0108"/>
    <w:rsid w:val="00204D56"/>
    <w:rsid w:val="002266A9"/>
    <w:rsid w:val="002350DD"/>
    <w:rsid w:val="00251C0E"/>
    <w:rsid w:val="00281C71"/>
    <w:rsid w:val="0029212C"/>
    <w:rsid w:val="002A2E79"/>
    <w:rsid w:val="002C610A"/>
    <w:rsid w:val="002D6EEF"/>
    <w:rsid w:val="002F1F10"/>
    <w:rsid w:val="00302817"/>
    <w:rsid w:val="00311199"/>
    <w:rsid w:val="00337BB8"/>
    <w:rsid w:val="0039532A"/>
    <w:rsid w:val="003B5A73"/>
    <w:rsid w:val="0041051E"/>
    <w:rsid w:val="0042209E"/>
    <w:rsid w:val="00433DB1"/>
    <w:rsid w:val="00443426"/>
    <w:rsid w:val="0046722D"/>
    <w:rsid w:val="004A2A0D"/>
    <w:rsid w:val="004D3E8F"/>
    <w:rsid w:val="004D5683"/>
    <w:rsid w:val="00501BC1"/>
    <w:rsid w:val="00565A85"/>
    <w:rsid w:val="00577689"/>
    <w:rsid w:val="005C5AEB"/>
    <w:rsid w:val="005D4FB6"/>
    <w:rsid w:val="00607CCD"/>
    <w:rsid w:val="00647C7A"/>
    <w:rsid w:val="00655312"/>
    <w:rsid w:val="00662595"/>
    <w:rsid w:val="00671CE3"/>
    <w:rsid w:val="00674FC0"/>
    <w:rsid w:val="006822F2"/>
    <w:rsid w:val="006950B3"/>
    <w:rsid w:val="006976DC"/>
    <w:rsid w:val="006B1978"/>
    <w:rsid w:val="00710789"/>
    <w:rsid w:val="0071272E"/>
    <w:rsid w:val="00744B8F"/>
    <w:rsid w:val="00760FB0"/>
    <w:rsid w:val="00787C54"/>
    <w:rsid w:val="007A5CBE"/>
    <w:rsid w:val="007B368B"/>
    <w:rsid w:val="007F7D14"/>
    <w:rsid w:val="008236AE"/>
    <w:rsid w:val="00836233"/>
    <w:rsid w:val="00842D40"/>
    <w:rsid w:val="008C7011"/>
    <w:rsid w:val="00934898"/>
    <w:rsid w:val="009412EA"/>
    <w:rsid w:val="00950DD9"/>
    <w:rsid w:val="009546F2"/>
    <w:rsid w:val="009A56F0"/>
    <w:rsid w:val="009B5820"/>
    <w:rsid w:val="009D13DF"/>
    <w:rsid w:val="009E0B59"/>
    <w:rsid w:val="009E2D67"/>
    <w:rsid w:val="009F5ACC"/>
    <w:rsid w:val="00A84454"/>
    <w:rsid w:val="00A86D53"/>
    <w:rsid w:val="00A87712"/>
    <w:rsid w:val="00A932E2"/>
    <w:rsid w:val="00AA0AA2"/>
    <w:rsid w:val="00B02E83"/>
    <w:rsid w:val="00B24E19"/>
    <w:rsid w:val="00B36790"/>
    <w:rsid w:val="00B56206"/>
    <w:rsid w:val="00B61E9E"/>
    <w:rsid w:val="00B75C07"/>
    <w:rsid w:val="00BA0034"/>
    <w:rsid w:val="00BA17F4"/>
    <w:rsid w:val="00BD1A13"/>
    <w:rsid w:val="00BE17DB"/>
    <w:rsid w:val="00BF3DB1"/>
    <w:rsid w:val="00C27714"/>
    <w:rsid w:val="00C50E62"/>
    <w:rsid w:val="00C9106E"/>
    <w:rsid w:val="00CB0E32"/>
    <w:rsid w:val="00CE2816"/>
    <w:rsid w:val="00CE6394"/>
    <w:rsid w:val="00CF5854"/>
    <w:rsid w:val="00D01912"/>
    <w:rsid w:val="00D44710"/>
    <w:rsid w:val="00D50886"/>
    <w:rsid w:val="00D57860"/>
    <w:rsid w:val="00D84607"/>
    <w:rsid w:val="00D9351F"/>
    <w:rsid w:val="00D94F51"/>
    <w:rsid w:val="00DD0E36"/>
    <w:rsid w:val="00DD3180"/>
    <w:rsid w:val="00DD7A50"/>
    <w:rsid w:val="00DE587D"/>
    <w:rsid w:val="00DF14B4"/>
    <w:rsid w:val="00DF37C9"/>
    <w:rsid w:val="00E25656"/>
    <w:rsid w:val="00E4516A"/>
    <w:rsid w:val="00E71A14"/>
    <w:rsid w:val="00E84BAF"/>
    <w:rsid w:val="00E93CF1"/>
    <w:rsid w:val="00EF4845"/>
    <w:rsid w:val="00F000CD"/>
    <w:rsid w:val="00F07E2F"/>
    <w:rsid w:val="00F23400"/>
    <w:rsid w:val="00F46A73"/>
    <w:rsid w:val="00F477DF"/>
    <w:rsid w:val="00F60765"/>
    <w:rsid w:val="00F70DA4"/>
    <w:rsid w:val="00F71337"/>
    <w:rsid w:val="00F82806"/>
    <w:rsid w:val="00FB2D59"/>
    <w:rsid w:val="00FB30C3"/>
    <w:rsid w:val="06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3060F"/>
  <w15:chartTrackingRefBased/>
  <w15:docId w15:val="{16ABA9D8-EFC2-47F3-B7BF-A24F5F2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E17DB"/>
    <w:pPr>
      <w:widowControl w:val="0"/>
      <w:autoSpaceDE w:val="0"/>
      <w:autoSpaceDN w:val="0"/>
      <w:spacing w:before="240" w:after="120" w:line="288" w:lineRule="auto"/>
      <w:outlineLvl w:val="1"/>
    </w:pPr>
    <w:rPr>
      <w:rFonts w:ascii="Arial" w:eastAsia="PublicSans-Thin" w:hAnsi="Arial" w:cs="Arial"/>
      <w:b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E17DB"/>
    <w:pPr>
      <w:widowControl w:val="0"/>
      <w:autoSpaceDE w:val="0"/>
      <w:autoSpaceDN w:val="0"/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4472C4" w:themeColor="accent1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B"/>
  </w:style>
  <w:style w:type="paragraph" w:styleId="Footer">
    <w:name w:val="footer"/>
    <w:basedOn w:val="Normal"/>
    <w:link w:val="Foot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B"/>
  </w:style>
  <w:style w:type="character" w:customStyle="1" w:styleId="Heading2Char">
    <w:name w:val="Heading 2 Char"/>
    <w:basedOn w:val="DefaultParagraphFont"/>
    <w:link w:val="Heading2"/>
    <w:uiPriority w:val="9"/>
    <w:rsid w:val="00BE17DB"/>
    <w:rPr>
      <w:rFonts w:ascii="Arial" w:eastAsia="PublicSans-Thin" w:hAnsi="Arial" w:cs="Arial"/>
      <w:b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17DB"/>
    <w:rPr>
      <w:rFonts w:ascii="Arial" w:eastAsia="PublicSans-Thin" w:hAnsi="Arial" w:cs="Arial"/>
      <w:b/>
      <w:color w:val="4472C4" w:themeColor="accent1"/>
      <w:sz w:val="20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7DB"/>
  </w:style>
  <w:style w:type="paragraph" w:customStyle="1" w:styleId="RTSLNumberParagraph">
    <w:name w:val="RTSL Number Paragraph"/>
    <w:basedOn w:val="BodyText"/>
    <w:rsid w:val="00BE17DB"/>
    <w:pPr>
      <w:numPr>
        <w:numId w:val="4"/>
      </w:numPr>
      <w:suppressAutoHyphens/>
      <w:spacing w:after="360" w:line="240" w:lineRule="auto"/>
    </w:pPr>
    <w:rPr>
      <w:rFonts w:ascii="Arial" w:eastAsia="PublicSans-Thin" w:hAnsi="Arial" w:cs="Arial"/>
      <w:sz w:val="20"/>
      <w:szCs w:val="20"/>
    </w:rPr>
  </w:style>
  <w:style w:type="table" w:customStyle="1" w:styleId="717Alliance">
    <w:name w:val="717 Alliance"/>
    <w:basedOn w:val="TableNormal"/>
    <w:uiPriority w:val="99"/>
    <w:rsid w:val="00BE17DB"/>
    <w:pPr>
      <w:spacing w:before="120" w:after="120" w:line="240" w:lineRule="auto"/>
      <w:ind w:left="144" w:right="144"/>
    </w:pPr>
    <w:rPr>
      <w:rFonts w:ascii="Arial" w:hAnsi="Arial"/>
    </w:rPr>
    <w:tblPr>
      <w:tblStyleRowBandSize w:val="1"/>
      <w:tblBorders>
        <w:top w:val="single" w:sz="4" w:space="0" w:color="ABB8C3"/>
        <w:left w:val="single" w:sz="4" w:space="0" w:color="ABB8C3"/>
        <w:bottom w:val="single" w:sz="4" w:space="0" w:color="ABB8C3"/>
        <w:right w:val="single" w:sz="4" w:space="0" w:color="ABB8C3"/>
        <w:insideH w:val="single" w:sz="4" w:space="0" w:color="ABB8C3"/>
        <w:insideV w:val="single" w:sz="4" w:space="0" w:color="ABB8C3"/>
      </w:tblBorders>
    </w:tblPr>
    <w:tcPr>
      <w:shd w:val="clear" w:color="auto" w:fill="auto"/>
    </w:tcPr>
    <w:tblStylePr w:type="firstRow">
      <w:tblPr/>
      <w:tcPr>
        <w:shd w:val="clear" w:color="auto" w:fill="3BB041"/>
      </w:tcPr>
    </w:tblStylePr>
    <w:tblStylePr w:type="firstCol">
      <w:tblPr/>
      <w:tcPr>
        <w:shd w:val="clear" w:color="auto" w:fill="CCDDE8"/>
      </w:tcPr>
    </w:tblStylePr>
    <w:tblStylePr w:type="band2Horz">
      <w:tblPr/>
      <w:tcPr>
        <w:shd w:val="clear" w:color="auto" w:fill="EDF3F7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A1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F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e1437-e5a6-4b46-903a-fa37d0114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6C38673B644D996689DE485DFA80" ma:contentTypeVersion="6" ma:contentTypeDescription="Create a new document." ma:contentTypeScope="" ma:versionID="db22e128ab7a98a3f4423e5b45ac9b3d">
  <xsd:schema xmlns:xsd="http://www.w3.org/2001/XMLSchema" xmlns:xs="http://www.w3.org/2001/XMLSchema" xmlns:p="http://schemas.microsoft.com/office/2006/metadata/properties" xmlns:ns3="db4e1437-e5a6-4b46-903a-fa37d0114b51" targetNamespace="http://schemas.microsoft.com/office/2006/metadata/properties" ma:root="true" ma:fieldsID="3daa08f527eb9da8d35c2762cf3fa6cb" ns3:_="">
    <xsd:import namespace="db4e1437-e5a6-4b46-903a-fa37d0114b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1437-e5a6-4b46-903a-fa37d0114b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2E439-7AA5-4856-B941-9F540767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B32C-96A6-4C28-B021-C4651D36995A}">
  <ds:schemaRefs>
    <ds:schemaRef ds:uri="http://purl.org/dc/terms/"/>
    <ds:schemaRef ds:uri="db4e1437-e5a6-4b46-903a-fa37d0114b51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2A29E0-E1C3-4DDF-BEB4-55DA92AD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1437-e5a6-4b46-903a-fa37d0114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494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https://717alliance.org/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Bochner</dc:creator>
  <cp:keywords/>
  <dc:description/>
  <cp:lastModifiedBy>Graciela Avila Cacavelos</cp:lastModifiedBy>
  <cp:revision>2</cp:revision>
  <dcterms:created xsi:type="dcterms:W3CDTF">2025-03-07T12:56:00Z</dcterms:created>
  <dcterms:modified xsi:type="dcterms:W3CDTF">2025-03-07T12:56:00Z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2022-12-08T07:45:43Z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4980d527-4eb1-4a6a-ae07-0cf773001985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0x010100500E6C38673B644D996689DE485DFA80</vt:lpwstr>
  </property>
  <property fmtid="{D5CDD505-2E9C-101B-9397-08002B2CF9AE}" pid="10" name="GrammarlyDocumentId">
    <vt:lpwstr>f57c208a4554ac949498a8ee7f1bb822f500a6dce2c2623ef2a9d8e50a56e7f0</vt:lpwstr>
  </property>
  <property fmtid="{D5CDD505-2E9C-101B-9397-08002B2CF9AE}" pid="11" name="MediaServiceImageTags">
    <vt:lpwstr/>
  </property>
  <property fmtid="{D5CDD505-2E9C-101B-9397-08002B2CF9AE}" pid="12" name="_dlc_DocIdItemGuid">
    <vt:lpwstr>45d5482f-c8dc-4d76-a8c1-cbf8581afbd5</vt:lpwstr>
  </property>
</Properties>
</file>