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AEC8" w14:textId="7AA55EC2" w:rsidR="00BE17DB" w:rsidRPr="00D27959" w:rsidRDefault="009546F2" w:rsidP="00BE17DB">
      <w:pPr>
        <w:pStyle w:val="Heading2"/>
        <w:rPr>
          <w:rFonts w:eastAsia="BarlowCondensed-SemiBold"/>
          <w:bCs/>
          <w:color w:val="3BB041"/>
          <w:sz w:val="36"/>
          <w:szCs w:val="46"/>
        </w:rPr>
      </w:pPr>
      <w:r>
        <w:rPr>
          <w:color w:val="3BB041"/>
          <w:sz w:val="36"/>
        </w:rPr>
        <w:t xml:space="preserve">Ferramenta de mapeamento de sistemas existentes </w:t>
      </w:r>
    </w:p>
    <w:p w14:paraId="77D6220B" w14:textId="4FCD973A" w:rsidR="00BE17DB" w:rsidRDefault="00BE17DB" w:rsidP="009546F2">
      <w:pPr>
        <w:pStyle w:val="Heading4"/>
        <w:ind w:right="1440"/>
        <w:rPr>
          <w:color w:val="44546A" w:themeColor="text2"/>
          <w:sz w:val="24"/>
        </w:rPr>
      </w:pPr>
      <w:r>
        <w:rPr>
          <w:color w:val="44546A" w:themeColor="text2"/>
          <w:sz w:val="24"/>
        </w:rPr>
        <w:t>Objetivo: Mapear os sistemas e estruturas existentes para identificar onde a meta 7-1-7 pode ser mais bem integrada para um uso eficaz e sustentável.</w:t>
      </w:r>
    </w:p>
    <w:p w14:paraId="1ADCFB61" w14:textId="2B4C3911" w:rsidR="00BE17DB" w:rsidRPr="00577689" w:rsidRDefault="001A616F" w:rsidP="00BE17D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sz w:val="20"/>
        </w:rPr>
        <w:t>Observe que a primeira linha de cada tabela foi preenchida para fornecer um exemplo.</w:t>
      </w:r>
    </w:p>
    <w:p w14:paraId="15F8CA5D" w14:textId="77777777" w:rsidR="001E2AAC" w:rsidRPr="00337BB8" w:rsidRDefault="001E2AAC" w:rsidP="00BE17DB">
      <w:pPr>
        <w:rPr>
          <w:rFonts w:ascii="Arial" w:hAnsi="Arial" w:cs="Arial"/>
          <w:sz w:val="20"/>
          <w:szCs w:val="20"/>
        </w:rPr>
      </w:pPr>
    </w:p>
    <w:p w14:paraId="75298B85" w14:textId="1D2F6157" w:rsidR="00BE17DB" w:rsidRDefault="00BE17DB" w:rsidP="002127CF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240" w:line="240" w:lineRule="auto"/>
        <w:ind w:left="646" w:hanging="357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t>Liste os sistemas de vigilância existentes usados para detectar e/ou coletar dados sobre surtos ou outros eventos de saúde pública.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09"/>
        <w:gridCol w:w="1351"/>
        <w:gridCol w:w="2790"/>
        <w:gridCol w:w="2340"/>
        <w:gridCol w:w="3775"/>
      </w:tblGrid>
      <w:tr w:rsidR="00BE17DB" w:rsidRPr="00BE17DB" w14:paraId="14AB0EE7" w14:textId="2029F5D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3873AA0" w14:textId="77777777" w:rsidR="00BE17DB" w:rsidRPr="00BE17DB" w:rsidRDefault="00BE17DB" w:rsidP="00B458DA">
            <w:pPr>
              <w:suppressAutoHyphens/>
              <w:ind w:right="9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do sistema</w:t>
            </w:r>
          </w:p>
        </w:tc>
        <w:tc>
          <w:tcPr>
            <w:tcW w:w="2609" w:type="dxa"/>
            <w:vAlign w:val="center"/>
          </w:tcPr>
          <w:p w14:paraId="75E0BFE6" w14:textId="77777777" w:rsidR="00BE17DB" w:rsidRPr="00BE17DB" w:rsidRDefault="00BE17DB" w:rsidP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Finalidade/descrição do sistema</w:t>
            </w:r>
          </w:p>
        </w:tc>
        <w:tc>
          <w:tcPr>
            <w:tcW w:w="1351" w:type="dxa"/>
            <w:vAlign w:val="center"/>
          </w:tcPr>
          <w:p w14:paraId="4A2EC819" w14:textId="77777777" w:rsidR="00BE17DB" w:rsidRPr="00BE17DB" w:rsidRDefault="00BE17DB" w:rsidP="00B458DA">
            <w:pPr>
              <w:snapToGrid w:val="0"/>
              <w:spacing w:before="240" w:line="288" w:lineRule="auto"/>
              <w:ind w:left="1" w:right="-28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Proprietário do sistema</w:t>
            </w:r>
          </w:p>
        </w:tc>
        <w:tc>
          <w:tcPr>
            <w:tcW w:w="2790" w:type="dxa"/>
            <w:vAlign w:val="center"/>
          </w:tcPr>
          <w:p w14:paraId="6A608A6B" w14:textId="37C84693" w:rsidR="00BE17DB" w:rsidRPr="00BE17DB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Coleta de dados</w:t>
            </w:r>
          </w:p>
        </w:tc>
        <w:tc>
          <w:tcPr>
            <w:tcW w:w="2340" w:type="dxa"/>
            <w:vAlign w:val="center"/>
          </w:tcPr>
          <w:p w14:paraId="04C90C6E" w14:textId="7CC4FD73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Limitações do sistema</w:t>
            </w:r>
          </w:p>
        </w:tc>
        <w:tc>
          <w:tcPr>
            <w:tcW w:w="3775" w:type="dxa"/>
            <w:vAlign w:val="center"/>
          </w:tcPr>
          <w:p w14:paraId="2FEE8AD7" w14:textId="2C3C1732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Relevância para o 7-1-7</w:t>
            </w:r>
          </w:p>
        </w:tc>
      </w:tr>
      <w:tr w:rsidR="00BE17DB" w:rsidRPr="00BE17DB" w14:paraId="4B90B455" w14:textId="6D511A64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677A34" w14:textId="4E644D56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DHIS-2</w:t>
            </w:r>
          </w:p>
        </w:tc>
        <w:tc>
          <w:tcPr>
            <w:tcW w:w="2609" w:type="dxa"/>
          </w:tcPr>
          <w:p w14:paraId="560AD701" w14:textId="539803B6" w:rsidR="00BE17DB" w:rsidRPr="00607CCD" w:rsidRDefault="00BE17DB" w:rsidP="00FB2D59">
            <w:pPr>
              <w:tabs>
                <w:tab w:val="left" w:pos="450"/>
              </w:tabs>
              <w:spacing w:before="100" w:after="0" w:line="343" w:lineRule="auto"/>
              <w:ind w:left="45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eIDSR</w:t>
            </w:r>
          </w:p>
        </w:tc>
        <w:tc>
          <w:tcPr>
            <w:tcW w:w="1351" w:type="dxa"/>
          </w:tcPr>
          <w:p w14:paraId="2FA7D72E" w14:textId="091DCD97" w:rsidR="00BE17DB" w:rsidRPr="00607CCD" w:rsidRDefault="00BE17DB" w:rsidP="00FB2D59">
            <w:pPr>
              <w:tabs>
                <w:tab w:val="left" w:pos="450"/>
              </w:tabs>
              <w:spacing w:after="0" w:line="343" w:lineRule="auto"/>
              <w:ind w:left="248"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</w:t>
            </w:r>
          </w:p>
        </w:tc>
        <w:tc>
          <w:tcPr>
            <w:tcW w:w="2790" w:type="dxa"/>
          </w:tcPr>
          <w:p w14:paraId="73602C4E" w14:textId="52007DB9" w:rsidR="00BE17DB" w:rsidRPr="00607CCD" w:rsidRDefault="00BE17DB" w:rsidP="00FB2D59">
            <w:pPr>
              <w:suppressAutoHyphens/>
              <w:spacing w:after="0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Dados baseados em casos para saúde humana</w:t>
            </w:r>
          </w:p>
        </w:tc>
        <w:tc>
          <w:tcPr>
            <w:tcW w:w="2340" w:type="dxa"/>
          </w:tcPr>
          <w:p w14:paraId="5B6E68AF" w14:textId="77E3F54D" w:rsidR="00BE17DB" w:rsidRPr="00607CCD" w:rsidRDefault="00BE17DB" w:rsidP="00FB2D59">
            <w:pPr>
              <w:suppressAutoHyphens/>
              <w:spacing w:after="0"/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Baseado na Internet, capacidade limitada nos estados</w:t>
            </w:r>
          </w:p>
        </w:tc>
        <w:tc>
          <w:tcPr>
            <w:tcW w:w="3775" w:type="dxa"/>
          </w:tcPr>
          <w:p w14:paraId="35B2F33E" w14:textId="7F4675AB" w:rsidR="00BE17DB" w:rsidRPr="00607CCD" w:rsidRDefault="00BE17DB" w:rsidP="00FB2D59">
            <w:pPr>
              <w:suppressAutoHyphens/>
              <w:spacing w:after="0"/>
              <w:ind w:left="128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Uma fonte de dados para vigilância baseada em indicadores, pode ser usada para determinar a data de detecção de doenças endêmicas</w:t>
            </w:r>
          </w:p>
        </w:tc>
      </w:tr>
      <w:tr w:rsidR="00BE17DB" w:rsidRPr="00BE17DB" w14:paraId="50F90E67" w14:textId="2D2A5A0E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962EE6F" w14:textId="4A649006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3361CBBA" w14:textId="0E510ACB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D16946" w14:textId="678D82B0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C07FF2" w14:textId="57B69FB3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CD9E55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73FF527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4BED30CD" w14:textId="3BAC9D94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AA54B1" w14:textId="0EF618F0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0A8001E4" w14:textId="5617BBD3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BD53768" w14:textId="3ADB8F80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BB77BB" w14:textId="14196D2C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260A62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6946B8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6C2FB40A" w14:textId="5FCAB0A5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57609A7" w14:textId="1227721A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7C5D3C0F" w14:textId="5F9AFBB1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FD5F6F9" w14:textId="141CFB1E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707B1B" w14:textId="2E7DEDFA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E7A5CB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AD0669D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6BA6590B" w14:textId="77777777" w:rsidR="004D3E8F" w:rsidRDefault="004D3E8F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0A2BE812" w14:textId="77777777" w:rsidR="00577689" w:rsidRDefault="00577689" w:rsidP="00F07E2F">
      <w:pPr>
        <w:tabs>
          <w:tab w:val="right" w:pos="14400"/>
        </w:tabs>
        <w:rPr>
          <w:rFonts w:ascii="Arial" w:eastAsia="PublicSans-Thin" w:hAnsi="Arial" w:cs="Arial"/>
          <w:sz w:val="20"/>
          <w:szCs w:val="20"/>
        </w:rPr>
      </w:pPr>
    </w:p>
    <w:p w14:paraId="67F79B23" w14:textId="77777777" w:rsidR="002127CF" w:rsidRDefault="002127CF" w:rsidP="00F07E2F">
      <w:pPr>
        <w:tabs>
          <w:tab w:val="right" w:pos="14400"/>
        </w:tabs>
        <w:rPr>
          <w:rFonts w:ascii="Arial" w:eastAsia="PublicSans-Thin" w:hAnsi="Arial" w:cs="Arial"/>
          <w:sz w:val="20"/>
          <w:szCs w:val="20"/>
        </w:rPr>
      </w:pPr>
    </w:p>
    <w:p w14:paraId="6C2B0C4E" w14:textId="7DD9089A" w:rsidR="004D3E8F" w:rsidRDefault="00F07E2F" w:rsidP="00F07E2F">
      <w:pPr>
        <w:tabs>
          <w:tab w:val="right" w:pos="14400"/>
        </w:tabs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55DA6DF8" w14:textId="6B213DB8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Liste as plataformas existentes usadas para notificar as partes interessadas da saúde pública após a detecção de um evento.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BE17DB" w:rsidRPr="00BE17DB" w14:paraId="2E6108A5" w14:textId="7777777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4DEFAF36" w14:textId="77777777" w:rsidR="00BE17DB" w:rsidRPr="00BE17DB" w:rsidRDefault="00BE17DB" w:rsidP="002127CF">
            <w:pPr>
              <w:suppressAutoHyphens/>
              <w:ind w:right="191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do sistema</w:t>
            </w:r>
          </w:p>
        </w:tc>
        <w:tc>
          <w:tcPr>
            <w:tcW w:w="2564" w:type="dxa"/>
            <w:vAlign w:val="center"/>
          </w:tcPr>
          <w:p w14:paraId="7F217997" w14:textId="77777777" w:rsidR="00BE17DB" w:rsidRPr="00BE17DB" w:rsidRDefault="00BE17DB" w:rsidP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Finalidade/descrição do sistema</w:t>
            </w:r>
          </w:p>
        </w:tc>
        <w:tc>
          <w:tcPr>
            <w:tcW w:w="1351" w:type="dxa"/>
            <w:vAlign w:val="center"/>
          </w:tcPr>
          <w:p w14:paraId="424280EE" w14:textId="77777777" w:rsidR="00BE17DB" w:rsidRPr="00BE17DB" w:rsidRDefault="00BE17DB" w:rsidP="002127CF">
            <w:pPr>
              <w:snapToGrid w:val="0"/>
              <w:spacing w:before="240" w:line="288" w:lineRule="auto"/>
              <w:ind w:left="0" w:right="-142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Proprietário do sistema</w:t>
            </w:r>
          </w:p>
        </w:tc>
        <w:tc>
          <w:tcPr>
            <w:tcW w:w="2790" w:type="dxa"/>
            <w:vAlign w:val="center"/>
          </w:tcPr>
          <w:p w14:paraId="4B88AC5B" w14:textId="33B46DFB" w:rsidR="00BE17DB" w:rsidRPr="00BE17DB" w:rsidRDefault="00FB2D59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Frequência de reporte</w:t>
            </w:r>
          </w:p>
        </w:tc>
        <w:tc>
          <w:tcPr>
            <w:tcW w:w="2430" w:type="dxa"/>
            <w:vAlign w:val="center"/>
          </w:tcPr>
          <w:p w14:paraId="5548F29A" w14:textId="77777777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Limitações do sistema</w:t>
            </w:r>
          </w:p>
        </w:tc>
        <w:tc>
          <w:tcPr>
            <w:tcW w:w="3685" w:type="dxa"/>
            <w:vAlign w:val="center"/>
          </w:tcPr>
          <w:p w14:paraId="6A8FEC16" w14:textId="77777777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Relevância para o 7-1-7</w:t>
            </w:r>
          </w:p>
        </w:tc>
      </w:tr>
      <w:tr w:rsidR="00FB2D59" w:rsidRPr="00BE17DB" w14:paraId="76CB550B" w14:textId="77777777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B95770F" w14:textId="271812E9" w:rsidR="00FB2D59" w:rsidRPr="00607CCD" w:rsidRDefault="00FB2D59" w:rsidP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MANVX</w:t>
            </w:r>
          </w:p>
        </w:tc>
        <w:tc>
          <w:tcPr>
            <w:tcW w:w="2564" w:type="dxa"/>
          </w:tcPr>
          <w:p w14:paraId="1005617B" w14:textId="6BF489E4" w:rsidR="00FB2D59" w:rsidRPr="00607CCD" w:rsidRDefault="00FB2D59" w:rsidP="00FB2D59">
            <w:pPr>
              <w:tabs>
                <w:tab w:val="left" w:pos="450"/>
              </w:tabs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Uma plataforma de notificação baseada em SMS para doenças de notificação imediata</w:t>
            </w:r>
          </w:p>
        </w:tc>
        <w:tc>
          <w:tcPr>
            <w:tcW w:w="1351" w:type="dxa"/>
          </w:tcPr>
          <w:p w14:paraId="397955CB" w14:textId="743022CF" w:rsidR="00FB2D59" w:rsidRPr="00607CCD" w:rsidRDefault="00FB2D59" w:rsidP="00FB2D59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</w:t>
            </w:r>
          </w:p>
        </w:tc>
        <w:tc>
          <w:tcPr>
            <w:tcW w:w="2790" w:type="dxa"/>
          </w:tcPr>
          <w:p w14:paraId="7EDD29BB" w14:textId="20334CD4" w:rsidR="00FB2D59" w:rsidRPr="00607CCD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Imediata</w:t>
            </w:r>
          </w:p>
        </w:tc>
        <w:tc>
          <w:tcPr>
            <w:tcW w:w="2430" w:type="dxa"/>
          </w:tcPr>
          <w:p w14:paraId="0596D4BC" w14:textId="743CC09C" w:rsidR="00FB2D59" w:rsidRPr="00607CCD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Cobertura de rede ruim em alguns distritos</w:t>
            </w:r>
          </w:p>
        </w:tc>
        <w:tc>
          <w:tcPr>
            <w:tcW w:w="3685" w:type="dxa"/>
          </w:tcPr>
          <w:p w14:paraId="066BF60F" w14:textId="37E1E81C" w:rsidR="00FB2D59" w:rsidRPr="00607CCD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Essa será uma importante fonte de dados para métricas de detecção e notificação</w:t>
            </w:r>
          </w:p>
        </w:tc>
      </w:tr>
      <w:tr w:rsidR="00BE17DB" w:rsidRPr="00BE17DB" w14:paraId="317C34E5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18A7EA7" w14:textId="77777777" w:rsidR="00BE17DB" w:rsidRPr="00BE17DB" w:rsidRDefault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6929D004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41E135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D84A3F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4A5065D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F1EF7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3F38A816" w14:textId="77777777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0506036C" w14:textId="77777777" w:rsidR="00BE17DB" w:rsidRPr="00BE17DB" w:rsidRDefault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52BDEB9F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B05251A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6D3753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06609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873CE9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7474125A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B952DFA" w14:textId="77777777" w:rsidR="00BE17DB" w:rsidRPr="00BE17DB" w:rsidRDefault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11D5CB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8439DE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50D292B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F11B5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B25503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3C50DDB6" w14:textId="77777777" w:rsidR="00BE17DB" w:rsidRPr="00BE17DB" w:rsidRDefault="00BE17DB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498659B2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br w:type="page"/>
      </w:r>
    </w:p>
    <w:p w14:paraId="37B9984A" w14:textId="278AF5CC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Liste as plataformas eletrônicas ou em papel existentes (sistemas, bancos de dados, relatórios, ferramentas) que coletam informações sobre ações de resposta.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FB2D59" w:rsidRPr="00BE17DB" w14:paraId="20BDD0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512C1E08" w14:textId="77777777" w:rsidR="00FB2D59" w:rsidRPr="00BE17DB" w:rsidRDefault="00FB2D59" w:rsidP="002127CF">
            <w:pPr>
              <w:suppressAutoHyphens/>
              <w:ind w:right="49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do sistema</w:t>
            </w:r>
          </w:p>
        </w:tc>
        <w:tc>
          <w:tcPr>
            <w:tcW w:w="2564" w:type="dxa"/>
            <w:vAlign w:val="center"/>
          </w:tcPr>
          <w:p w14:paraId="2488FF09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Finalidade/descrição do sistema</w:t>
            </w:r>
          </w:p>
        </w:tc>
        <w:tc>
          <w:tcPr>
            <w:tcW w:w="1351" w:type="dxa"/>
            <w:vAlign w:val="center"/>
          </w:tcPr>
          <w:p w14:paraId="36ACC5DA" w14:textId="77777777" w:rsidR="00FB2D59" w:rsidRPr="00BE17DB" w:rsidRDefault="00FB2D59" w:rsidP="002127CF">
            <w:pPr>
              <w:snapToGrid w:val="0"/>
              <w:spacing w:before="240" w:line="288" w:lineRule="auto"/>
              <w:ind w:left="0" w:right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Proprietário do sistema</w:t>
            </w:r>
          </w:p>
        </w:tc>
        <w:tc>
          <w:tcPr>
            <w:tcW w:w="2790" w:type="dxa"/>
            <w:vAlign w:val="center"/>
          </w:tcPr>
          <w:p w14:paraId="1D2EFDE9" w14:textId="78B82D70" w:rsidR="00FB2D59" w:rsidRPr="00BE17DB" w:rsidRDefault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Dados relevantes coletados</w:t>
            </w:r>
          </w:p>
        </w:tc>
        <w:tc>
          <w:tcPr>
            <w:tcW w:w="2430" w:type="dxa"/>
            <w:vAlign w:val="center"/>
          </w:tcPr>
          <w:p w14:paraId="2ECF9296" w14:textId="77777777" w:rsidR="00FB2D59" w:rsidRPr="00FB2D59" w:rsidRDefault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Limitações do sistema</w:t>
            </w:r>
          </w:p>
        </w:tc>
        <w:tc>
          <w:tcPr>
            <w:tcW w:w="3685" w:type="dxa"/>
            <w:vAlign w:val="center"/>
          </w:tcPr>
          <w:p w14:paraId="6C374E25" w14:textId="77777777" w:rsidR="00FB2D59" w:rsidRPr="00FB2D59" w:rsidRDefault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Relevância para o 7-1-7</w:t>
            </w:r>
          </w:p>
        </w:tc>
      </w:tr>
      <w:tr w:rsidR="00FB2D59" w:rsidRPr="00BE17DB" w14:paraId="3C9FEB8D" w14:textId="77777777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2CF4063B" w14:textId="47102B9D" w:rsidR="00FB2D59" w:rsidRPr="00607CCD" w:rsidRDefault="00FB2D59" w:rsidP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Relatórios RRT</w:t>
            </w:r>
          </w:p>
        </w:tc>
        <w:tc>
          <w:tcPr>
            <w:tcW w:w="2564" w:type="dxa"/>
          </w:tcPr>
          <w:p w14:paraId="289FCF77" w14:textId="60F94A8A" w:rsidR="00FB2D59" w:rsidRPr="00607CCD" w:rsidRDefault="00FB2D59" w:rsidP="00FB2D59">
            <w:pPr>
              <w:tabs>
                <w:tab w:val="left" w:pos="450"/>
              </w:tabs>
              <w:spacing w:before="100"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Apresentados pelas Equipes de Resposta Precoce após sua mobilização para investigar um evento</w:t>
            </w:r>
          </w:p>
        </w:tc>
        <w:tc>
          <w:tcPr>
            <w:tcW w:w="1351" w:type="dxa"/>
          </w:tcPr>
          <w:p w14:paraId="15E6CD64" w14:textId="5648A14F" w:rsidR="00FB2D59" w:rsidRPr="00607CCD" w:rsidRDefault="00FB2D59" w:rsidP="00FB2D59">
            <w:pPr>
              <w:tabs>
                <w:tab w:val="left" w:pos="450"/>
              </w:tabs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NPHI, Regiões</w:t>
            </w:r>
          </w:p>
        </w:tc>
        <w:tc>
          <w:tcPr>
            <w:tcW w:w="2790" w:type="dxa"/>
          </w:tcPr>
          <w:p w14:paraId="526241E7" w14:textId="1AFFEE97" w:rsidR="00FB2D59" w:rsidRPr="00607CCD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Datas de detecção de emergência e notificação</w:t>
            </w:r>
          </w:p>
        </w:tc>
        <w:tc>
          <w:tcPr>
            <w:tcW w:w="2430" w:type="dxa"/>
          </w:tcPr>
          <w:p w14:paraId="1E872D30" w14:textId="6FF1AF50" w:rsidR="00FB2D59" w:rsidRPr="00607CCD" w:rsidRDefault="00FB2D59" w:rsidP="002127CF">
            <w:pPr>
              <w:suppressAutoHyphens/>
              <w:spacing w:after="0"/>
              <w:ind w:left="211" w:right="-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As RRTs são implantadas por estados ou em nível nacional, portanto, a qualidade varia; não há arquivamento sistemático de relatórios</w:t>
            </w:r>
          </w:p>
        </w:tc>
        <w:tc>
          <w:tcPr>
            <w:tcW w:w="3685" w:type="dxa"/>
          </w:tcPr>
          <w:p w14:paraId="42DD3DFD" w14:textId="091F1B60" w:rsidR="00FB2D59" w:rsidRPr="00607CCD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Os relatórios das RRTs fornecem um repositório para as datas de surgimento, notificação e algumas ações de resposta.</w:t>
            </w:r>
          </w:p>
        </w:tc>
      </w:tr>
      <w:tr w:rsidR="00FB2D59" w:rsidRPr="00BE17DB" w14:paraId="0232527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E1C557D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00089161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3BDD81B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518618D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6301E4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4C4CFC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FB2D59" w:rsidRPr="00BE17DB" w14:paraId="40A9FF0C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F935150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31A343FB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F73BD76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384A6E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8C53BF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75B4E7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FB2D59" w:rsidRPr="00BE17DB" w14:paraId="1F8A18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4AA563C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BB24B3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77BA5E5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9804E0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FF88A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EA704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786B8DCE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370A619E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br w:type="page"/>
      </w:r>
    </w:p>
    <w:p w14:paraId="66141683" w14:textId="2F131DD9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Liste as reuniões existentes que são usadas para coordenar e reunir as partes interessadas relevantes para a detecção, notificação e resposta a surtos. 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2520"/>
        <w:gridCol w:w="1530"/>
        <w:gridCol w:w="2070"/>
        <w:gridCol w:w="2160"/>
        <w:gridCol w:w="3145"/>
      </w:tblGrid>
      <w:tr w:rsidR="004D3E8F" w:rsidRPr="00BE17DB" w14:paraId="5D0EF18B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D312CAB" w14:textId="77777777" w:rsidR="004D3E8F" w:rsidRPr="00BE17DB" w:rsidRDefault="004D3E8F" w:rsidP="002127CF">
            <w:pPr>
              <w:suppressAutoHyphens/>
              <w:ind w:right="0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do sistema</w:t>
            </w:r>
          </w:p>
        </w:tc>
        <w:tc>
          <w:tcPr>
            <w:tcW w:w="1440" w:type="dxa"/>
            <w:vAlign w:val="center"/>
          </w:tcPr>
          <w:p w14:paraId="128B7BBC" w14:textId="507C74CC" w:rsidR="004D3E8F" w:rsidRPr="00BE17DB" w:rsidRDefault="004D3E8F" w:rsidP="002127CF">
            <w:pPr>
              <w:snapToGrid w:val="0"/>
              <w:spacing w:before="240" w:line="288" w:lineRule="auto"/>
              <w:ind w:left="0" w:right="-11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Organizador</w:t>
            </w:r>
          </w:p>
        </w:tc>
        <w:tc>
          <w:tcPr>
            <w:tcW w:w="2520" w:type="dxa"/>
            <w:vAlign w:val="center"/>
          </w:tcPr>
          <w:p w14:paraId="0C168616" w14:textId="680725A5" w:rsidR="004D3E8F" w:rsidRPr="00BE17DB" w:rsidRDefault="004D3E8F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</w:p>
        </w:tc>
        <w:tc>
          <w:tcPr>
            <w:tcW w:w="1530" w:type="dxa"/>
            <w:vAlign w:val="center"/>
          </w:tcPr>
          <w:p w14:paraId="5722A29A" w14:textId="324F8629" w:rsidR="004D3E8F" w:rsidRPr="00BE17DB" w:rsidRDefault="004D3E8F" w:rsidP="002127CF">
            <w:pPr>
              <w:ind w:right="-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Frequência</w:t>
            </w:r>
          </w:p>
        </w:tc>
        <w:tc>
          <w:tcPr>
            <w:tcW w:w="2070" w:type="dxa"/>
            <w:vAlign w:val="center"/>
          </w:tcPr>
          <w:p w14:paraId="66C4D904" w14:textId="2A2FFEE1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Participantes</w:t>
            </w:r>
          </w:p>
        </w:tc>
        <w:tc>
          <w:tcPr>
            <w:tcW w:w="2160" w:type="dxa"/>
            <w:vAlign w:val="center"/>
          </w:tcPr>
          <w:p w14:paraId="5969C29D" w14:textId="1B4A55B5" w:rsidR="004D3E8F" w:rsidRPr="00FB2D59" w:rsidRDefault="004D3E8F" w:rsidP="004D3E8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Resultados da reunião</w:t>
            </w:r>
          </w:p>
        </w:tc>
        <w:tc>
          <w:tcPr>
            <w:tcW w:w="3145" w:type="dxa"/>
            <w:vAlign w:val="center"/>
          </w:tcPr>
          <w:p w14:paraId="28C65DF3" w14:textId="63EEC0DD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Relevância para o 7-1-7</w:t>
            </w:r>
          </w:p>
        </w:tc>
      </w:tr>
      <w:tr w:rsidR="004D3E8F" w:rsidRPr="00BE17DB" w14:paraId="17AFEF2B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55392A" w14:textId="0401FFE2" w:rsidR="004D3E8F" w:rsidRPr="00BA17F4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Reunião semanal do PHEOC</w:t>
            </w:r>
          </w:p>
        </w:tc>
        <w:tc>
          <w:tcPr>
            <w:tcW w:w="1440" w:type="dxa"/>
          </w:tcPr>
          <w:p w14:paraId="5D7EC7AA" w14:textId="7822670D" w:rsidR="004D3E8F" w:rsidRPr="00BA17F4" w:rsidRDefault="004D3E8F" w:rsidP="004D3E8F">
            <w:pPr>
              <w:tabs>
                <w:tab w:val="left" w:pos="450"/>
              </w:tabs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</w:t>
            </w:r>
          </w:p>
        </w:tc>
        <w:tc>
          <w:tcPr>
            <w:tcW w:w="2520" w:type="dxa"/>
          </w:tcPr>
          <w:p w14:paraId="63BEA291" w14:textId="3B360C39" w:rsidR="004D3E8F" w:rsidRPr="00BA17F4" w:rsidRDefault="004D3E8F" w:rsidP="002127CF">
            <w:pPr>
              <w:tabs>
                <w:tab w:val="left" w:pos="450"/>
              </w:tabs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Analisar a ameaça de eventos de saúde pública e acompanhar as ações de resposta anteriores</w:t>
            </w:r>
          </w:p>
        </w:tc>
        <w:tc>
          <w:tcPr>
            <w:tcW w:w="1530" w:type="dxa"/>
          </w:tcPr>
          <w:p w14:paraId="236F7E67" w14:textId="7552C051" w:rsidR="004D3E8F" w:rsidRPr="00BA17F4" w:rsidRDefault="004D3E8F" w:rsidP="002127CF">
            <w:pPr>
              <w:suppressAutoHyphens/>
              <w:spacing w:after="360"/>
              <w:ind w:left="-7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Semanalmente</w:t>
            </w:r>
          </w:p>
        </w:tc>
        <w:tc>
          <w:tcPr>
            <w:tcW w:w="2070" w:type="dxa"/>
          </w:tcPr>
          <w:p w14:paraId="0750F436" w14:textId="20E16F50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Gerência sênior do NPHI, representantes da One Health</w:t>
            </w:r>
          </w:p>
        </w:tc>
        <w:tc>
          <w:tcPr>
            <w:tcW w:w="2160" w:type="dxa"/>
          </w:tcPr>
          <w:p w14:paraId="6527A6B1" w14:textId="7CD000D5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Boletim de resposta semanal</w:t>
            </w:r>
          </w:p>
        </w:tc>
        <w:tc>
          <w:tcPr>
            <w:tcW w:w="3145" w:type="dxa"/>
          </w:tcPr>
          <w:p w14:paraId="47B57756" w14:textId="36025527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Isso pode servir como uma excelente plataforma para análise em tempo real do desempenho do 7-1-7</w:t>
            </w:r>
          </w:p>
        </w:tc>
      </w:tr>
      <w:tr w:rsidR="004D3E8F" w:rsidRPr="00BE17DB" w14:paraId="1C24A048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76FEB1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7159D60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4333E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2A2DEF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30F294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AE487B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DD6FFEA" w14:textId="3D32B09D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3F45F24A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25AFB1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74D1E25A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E59AB8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6D60A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20EDE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B918FF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252D870" w14:textId="251F8189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74C15B6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6CE429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17A0396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E873BA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AC5F1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C7E75E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D03C40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7303D2F8" w14:textId="0C00B945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0D115687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ind w:left="648"/>
        <w:rPr>
          <w:rFonts w:ascii="Arial" w:eastAsia="PublicSans-Thin" w:hAnsi="Arial" w:cs="Arial"/>
          <w:sz w:val="20"/>
          <w:szCs w:val="20"/>
        </w:rPr>
      </w:pPr>
    </w:p>
    <w:p w14:paraId="087081B8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br w:type="page"/>
      </w:r>
    </w:p>
    <w:p w14:paraId="2BB0924E" w14:textId="5D60B481" w:rsidR="00BE17DB" w:rsidRPr="00BA17F4" w:rsidRDefault="00BE17DB" w:rsidP="00BA17F4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Liste as reuniões existentes ou outras plataformas para planejamento e financiamento (planos operacionais anuais, revisões mensais, reuniões de orçamento, Planos de Ação Nacional para Segurança da Saúde ou NAPHS).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980"/>
        <w:gridCol w:w="1530"/>
        <w:gridCol w:w="2430"/>
        <w:gridCol w:w="1890"/>
        <w:gridCol w:w="3505"/>
      </w:tblGrid>
      <w:tr w:rsidR="004D3E8F" w:rsidRPr="00BE17DB" w14:paraId="09D31260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F47CF63" w14:textId="39D12B93" w:rsidR="004D3E8F" w:rsidRPr="00BE17DB" w:rsidRDefault="004D3E8F" w:rsidP="002127CF">
            <w:pPr>
              <w:suppressAutoHyphens/>
              <w:ind w:right="230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Nome da reunião</w:t>
            </w:r>
          </w:p>
        </w:tc>
        <w:tc>
          <w:tcPr>
            <w:tcW w:w="1440" w:type="dxa"/>
            <w:vAlign w:val="center"/>
          </w:tcPr>
          <w:p w14:paraId="40EBEF18" w14:textId="3DBA99FB" w:rsidR="004D3E8F" w:rsidRPr="00BE17DB" w:rsidRDefault="004D3E8F" w:rsidP="002127CF">
            <w:pPr>
              <w:snapToGrid w:val="0"/>
              <w:spacing w:before="240" w:line="288" w:lineRule="auto"/>
              <w:ind w:left="-31" w:right="-31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Organizador</w:t>
            </w:r>
          </w:p>
        </w:tc>
        <w:tc>
          <w:tcPr>
            <w:tcW w:w="1980" w:type="dxa"/>
            <w:vAlign w:val="center"/>
          </w:tcPr>
          <w:p w14:paraId="3640354D" w14:textId="64F83970" w:rsidR="004D3E8F" w:rsidRPr="00BE17DB" w:rsidRDefault="004D3E8F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</w:p>
        </w:tc>
        <w:tc>
          <w:tcPr>
            <w:tcW w:w="1530" w:type="dxa"/>
            <w:vAlign w:val="center"/>
          </w:tcPr>
          <w:p w14:paraId="58498CAF" w14:textId="0C48F13C" w:rsidR="004D3E8F" w:rsidRPr="00BE17DB" w:rsidRDefault="004D3E8F" w:rsidP="002127CF">
            <w:pPr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Frequência (listar mês para reuniões anuais)</w:t>
            </w:r>
          </w:p>
        </w:tc>
        <w:tc>
          <w:tcPr>
            <w:tcW w:w="2430" w:type="dxa"/>
            <w:vAlign w:val="center"/>
          </w:tcPr>
          <w:p w14:paraId="18A6FAE1" w14:textId="1036EBE5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Participantes</w:t>
            </w:r>
          </w:p>
        </w:tc>
        <w:tc>
          <w:tcPr>
            <w:tcW w:w="1890" w:type="dxa"/>
            <w:vAlign w:val="center"/>
          </w:tcPr>
          <w:p w14:paraId="45D66B61" w14:textId="138382DA" w:rsidR="004D3E8F" w:rsidRPr="00FB2D59" w:rsidRDefault="004D3E8F" w:rsidP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Resultados da reunião</w:t>
            </w:r>
          </w:p>
        </w:tc>
        <w:tc>
          <w:tcPr>
            <w:tcW w:w="3505" w:type="dxa"/>
            <w:vAlign w:val="center"/>
          </w:tcPr>
          <w:p w14:paraId="58F35364" w14:textId="032BE3FF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Relevância para o 7-1-7</w:t>
            </w:r>
          </w:p>
        </w:tc>
      </w:tr>
      <w:tr w:rsidR="004D3E8F" w:rsidRPr="00BE17DB" w14:paraId="2FCF4F45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74A7B3" w14:textId="249ED95B" w:rsidR="004D3E8F" w:rsidRPr="00BA17F4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IHR TWG</w:t>
            </w:r>
          </w:p>
        </w:tc>
        <w:tc>
          <w:tcPr>
            <w:tcW w:w="1440" w:type="dxa"/>
          </w:tcPr>
          <w:p w14:paraId="735221B1" w14:textId="751C585B" w:rsidR="004D3E8F" w:rsidRPr="00BA17F4" w:rsidRDefault="004D3E8F" w:rsidP="002127CF">
            <w:pPr>
              <w:tabs>
                <w:tab w:val="left" w:pos="450"/>
              </w:tabs>
              <w:spacing w:before="100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Gabinete do Vice-Presidente</w:t>
            </w:r>
          </w:p>
        </w:tc>
        <w:tc>
          <w:tcPr>
            <w:tcW w:w="1980" w:type="dxa"/>
          </w:tcPr>
          <w:p w14:paraId="30E36ED3" w14:textId="6FFB6D69" w:rsidR="004D3E8F" w:rsidRPr="00BA17F4" w:rsidRDefault="004D3E8F" w:rsidP="004D3E8F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Revisão do progresso da implementação nacional do IHR/NAPHS</w:t>
            </w:r>
          </w:p>
        </w:tc>
        <w:tc>
          <w:tcPr>
            <w:tcW w:w="1530" w:type="dxa"/>
          </w:tcPr>
          <w:p w14:paraId="201F6CB2" w14:textId="17EC6227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Trimestralmente</w:t>
            </w:r>
          </w:p>
        </w:tc>
        <w:tc>
          <w:tcPr>
            <w:tcW w:w="2430" w:type="dxa"/>
          </w:tcPr>
          <w:p w14:paraId="7099AC8C" w14:textId="1E290916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Vice-Presidente, Ministros (Saúde, Agricultura, Meio Ambiente)</w:t>
            </w:r>
          </w:p>
        </w:tc>
        <w:tc>
          <w:tcPr>
            <w:tcW w:w="1890" w:type="dxa"/>
          </w:tcPr>
          <w:p w14:paraId="7A2AF7AA" w14:textId="274E61EB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Boletins trimestrais do IHR</w:t>
            </w:r>
          </w:p>
        </w:tc>
        <w:tc>
          <w:tcPr>
            <w:tcW w:w="3505" w:type="dxa"/>
          </w:tcPr>
          <w:p w14:paraId="527D666D" w14:textId="32757620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Considerar a integração das ações corretivas de longo prazo do 7-1-7</w:t>
            </w:r>
          </w:p>
        </w:tc>
      </w:tr>
      <w:tr w:rsidR="004D3E8F" w:rsidRPr="00BE17DB" w14:paraId="2A788B4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F20E495" w14:textId="77777777" w:rsidR="004D3E8F" w:rsidRPr="00BE17DB" w:rsidRDefault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BEDEBC9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7B7F0C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C5C0F5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88496D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10805D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175ACF1" w14:textId="5D6C2D3E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3FF5FB14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848BBE" w14:textId="77777777" w:rsidR="004D3E8F" w:rsidRPr="00BE17DB" w:rsidRDefault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0F1ED84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18D3D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041E0D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0197BD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82F86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126FE49" w14:textId="0619254A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1B0E7CAF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AE0FD2" w14:textId="77777777" w:rsidR="004D3E8F" w:rsidRPr="00BE17DB" w:rsidRDefault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2A1D828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EE73CF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DDC103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4270D2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7CB963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1CEF153D" w14:textId="6E03DE86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462CC9D5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2B9B00EC" w14:textId="2CB590F7" w:rsidR="00F71337" w:rsidRPr="00BE17DB" w:rsidRDefault="00F71337" w:rsidP="00BE17DB">
      <w:pPr>
        <w:rPr>
          <w:rFonts w:ascii="Arial" w:hAnsi="Arial" w:cs="Arial"/>
        </w:rPr>
      </w:pPr>
    </w:p>
    <w:p w14:paraId="40C94D92" w14:textId="2A6476FA" w:rsidR="00647C7A" w:rsidRPr="001C5BF9" w:rsidRDefault="00647C7A">
      <w:pPr>
        <w:rPr>
          <w:rFonts w:ascii="Arial" w:hAnsi="Arial" w:cs="Arial"/>
        </w:rPr>
      </w:pPr>
    </w:p>
    <w:p w14:paraId="6FA57996" w14:textId="2AA48A5C" w:rsidR="00F46A73" w:rsidRPr="001C5BF9" w:rsidRDefault="00F46A73" w:rsidP="00BE17DB">
      <w:pPr>
        <w:pStyle w:val="ListParagraph"/>
        <w:ind w:left="360"/>
        <w:rPr>
          <w:rFonts w:ascii="Arial" w:hAnsi="Arial" w:cs="Arial"/>
        </w:rPr>
      </w:pPr>
    </w:p>
    <w:p w14:paraId="6B351CF9" w14:textId="77777777" w:rsidR="00F46A73" w:rsidRDefault="00F46A73">
      <w:pPr>
        <w:rPr>
          <w:rFonts w:ascii="Arial" w:hAnsi="Arial" w:cs="Arial"/>
        </w:rPr>
      </w:pPr>
    </w:p>
    <w:p w14:paraId="5F833614" w14:textId="77777777" w:rsidR="001C5BF9" w:rsidRDefault="001C5BF9">
      <w:pPr>
        <w:rPr>
          <w:rFonts w:ascii="Arial" w:hAnsi="Arial" w:cs="Arial"/>
        </w:rPr>
      </w:pPr>
    </w:p>
    <w:sectPr w:rsidR="001C5BF9" w:rsidSect="00BE17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FDAA" w14:textId="77777777" w:rsidR="00583A3A" w:rsidRDefault="00583A3A" w:rsidP="00BE17DB">
      <w:pPr>
        <w:spacing w:after="0" w:line="240" w:lineRule="auto"/>
      </w:pPr>
      <w:r>
        <w:separator/>
      </w:r>
    </w:p>
  </w:endnote>
  <w:endnote w:type="continuationSeparator" w:id="0">
    <w:p w14:paraId="0A5E2094" w14:textId="77777777" w:rsidR="00583A3A" w:rsidRDefault="00583A3A" w:rsidP="00BE17DB">
      <w:pPr>
        <w:spacing w:after="0" w:line="240" w:lineRule="auto"/>
      </w:pPr>
      <w:r>
        <w:continuationSeparator/>
      </w:r>
    </w:p>
  </w:endnote>
  <w:endnote w:type="continuationNotice" w:id="1">
    <w:p w14:paraId="28C85581" w14:textId="77777777" w:rsidR="00583A3A" w:rsidRDefault="00583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Sans-Thin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rlowCondensed-Semi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0769457"/>
      <w:docPartObj>
        <w:docPartGallery w:val="Page Numbers (Bottom of Page)"/>
        <w:docPartUnique/>
      </w:docPartObj>
    </w:sdtPr>
    <w:sdtContent>
      <w:p w14:paraId="7A60AB0C" w14:textId="2ABC0764" w:rsidR="009E0B59" w:rsidRDefault="009E0B59" w:rsidP="003421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317BA0" w14:textId="77777777" w:rsidR="009E0B59" w:rsidRDefault="009E0B59" w:rsidP="009E0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07659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4"/>
        <w:szCs w:val="14"/>
      </w:rPr>
    </w:sdtEndPr>
    <w:sdtContent>
      <w:p w14:paraId="5CEDC96F" w14:textId="441277A7" w:rsidR="009E0B59" w:rsidRPr="009E0B59" w:rsidRDefault="009E0B59" w:rsidP="0034211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4"/>
            <w:szCs w:val="14"/>
          </w:rPr>
        </w:pPr>
        <w:r w:rsidRPr="009E0B59">
          <w:rPr>
            <w:rStyle w:val="PageNumber"/>
            <w:rFonts w:ascii="Arial" w:hAnsi="Arial" w:cs="Arial"/>
            <w:sz w:val="14"/>
          </w:rPr>
          <w:fldChar w:fldCharType="begin"/>
        </w:r>
        <w:r w:rsidRPr="009E0B59">
          <w:rPr>
            <w:rStyle w:val="PageNumber"/>
            <w:rFonts w:ascii="Arial" w:hAnsi="Arial" w:cs="Arial"/>
            <w:sz w:val="14"/>
          </w:rPr>
          <w:instrText xml:space="preserve"> PAGE </w:instrText>
        </w:r>
        <w:r w:rsidRPr="009E0B59">
          <w:rPr>
            <w:rStyle w:val="PageNumber"/>
            <w:rFonts w:ascii="Arial" w:hAnsi="Arial" w:cs="Arial"/>
            <w:sz w:val="14"/>
          </w:rPr>
          <w:fldChar w:fldCharType="separate"/>
        </w:r>
        <w:r w:rsidRPr="009E0B59">
          <w:rPr>
            <w:rStyle w:val="PageNumber"/>
            <w:rFonts w:ascii="Arial" w:hAnsi="Arial" w:cs="Arial"/>
            <w:sz w:val="14"/>
          </w:rPr>
          <w:t>2</w:t>
        </w:r>
        <w:r w:rsidRPr="009E0B59">
          <w:rPr>
            <w:rStyle w:val="PageNumber"/>
            <w:rFonts w:ascii="Arial" w:hAnsi="Arial" w:cs="Arial"/>
            <w:sz w:val="14"/>
          </w:rPr>
          <w:fldChar w:fldCharType="end"/>
        </w:r>
      </w:p>
    </w:sdtContent>
  </w:sdt>
  <w:p w14:paraId="26F9EC5F" w14:textId="77777777" w:rsidR="009E0B59" w:rsidRPr="009E0B59" w:rsidRDefault="009E0B59" w:rsidP="009E0B59">
    <w:pPr>
      <w:pStyle w:val="Footer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13E1" w14:textId="1E14E3C0" w:rsidR="00F07E2F" w:rsidRPr="00F07E2F" w:rsidRDefault="00F07E2F" w:rsidP="00F07E2F">
    <w:pPr>
      <w:pStyle w:val="Footer"/>
      <w:jc w:val="right"/>
      <w:rPr>
        <w:sz w:val="10"/>
        <w:szCs w:val="10"/>
      </w:rPr>
    </w:pPr>
    <w:r>
      <w:rPr>
        <w:sz w:val="10"/>
      </w:rPr>
      <w:t>V</w:t>
    </w:r>
    <w:r w:rsidR="00805886">
      <w:rPr>
        <w:sz w:val="10"/>
      </w:rPr>
      <w:t>1</w:t>
    </w:r>
    <w:r>
      <w:rPr>
        <w:sz w:val="10"/>
      </w:rPr>
      <w:t xml:space="preserve"> 0</w:t>
    </w:r>
    <w:r w:rsidR="00805886">
      <w:rPr>
        <w:sz w:val="10"/>
      </w:rPr>
      <w:t>3</w:t>
    </w:r>
    <w:r>
      <w:rPr>
        <w:sz w:val="1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6F5F" w14:textId="77777777" w:rsidR="00583A3A" w:rsidRDefault="00583A3A" w:rsidP="00BE17DB">
      <w:pPr>
        <w:spacing w:after="0" w:line="240" w:lineRule="auto"/>
      </w:pPr>
      <w:r>
        <w:separator/>
      </w:r>
    </w:p>
  </w:footnote>
  <w:footnote w:type="continuationSeparator" w:id="0">
    <w:p w14:paraId="76BDFC0C" w14:textId="77777777" w:rsidR="00583A3A" w:rsidRDefault="00583A3A" w:rsidP="00BE17DB">
      <w:pPr>
        <w:spacing w:after="0" w:line="240" w:lineRule="auto"/>
      </w:pPr>
      <w:r>
        <w:continuationSeparator/>
      </w:r>
    </w:p>
  </w:footnote>
  <w:footnote w:type="continuationNotice" w:id="1">
    <w:p w14:paraId="2052887B" w14:textId="77777777" w:rsidR="00583A3A" w:rsidRDefault="00583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611F" w14:textId="12EE1ED9" w:rsidR="00BE17DB" w:rsidRPr="00BE17DB" w:rsidRDefault="009546F2" w:rsidP="00BE17DB">
    <w:pPr>
      <w:widowControl w:val="0"/>
      <w:autoSpaceDE w:val="0"/>
      <w:autoSpaceDN w:val="0"/>
      <w:spacing w:before="20" w:after="0" w:line="240" w:lineRule="auto"/>
      <w:rPr>
        <w:rFonts w:ascii="Arial" w:eastAsia="PublicSans-Thin" w:hAnsi="Arial" w:cs="Arial"/>
        <w:b/>
        <w:color w:val="3BB041"/>
        <w:sz w:val="15"/>
        <w:szCs w:val="15"/>
      </w:rPr>
    </w:pPr>
    <w:r>
      <w:rPr>
        <w:rFonts w:ascii="Arial" w:hAnsi="Arial"/>
        <w:b/>
        <w:color w:val="3BB041"/>
        <w:sz w:val="15"/>
      </w:rPr>
      <w:t>Ferramenta de mapeamento de sistemas existentes</w:t>
    </w:r>
  </w:p>
  <w:p w14:paraId="708393C9" w14:textId="521A61EF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02C988B3" w14:textId="592BE49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>
      <w:rPr>
        <w:rFonts w:ascii="Arial" w:hAnsi="Arial"/>
        <w:noProof/>
        <w:color w:val="3D9D45"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62F1" wp14:editId="19D74D33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42333"/>
              <wp:effectExtent l="0" t="0" r="12700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4233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1D0AC0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" strokecolor="#d9d9d9" strokeweight="1pt">
              <v:stroke joinstyle="miter"/>
            </v:line>
          </w:pict>
        </mc:Fallback>
      </mc:AlternateContent>
    </w:r>
  </w:p>
  <w:p w14:paraId="3F2626BB" w14:textId="77777777" w:rsidR="00BE17DB" w:rsidRDefault="00BE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BE6D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Times New Roman" w:hAnsi="Arial" w:cs="Times New Roman"/>
        <w:iCs/>
        <w:color w:val="3D9D45"/>
        <w:sz w:val="14"/>
        <w:szCs w:val="14"/>
      </w:rPr>
    </w:pPr>
    <w:r>
      <w:rPr>
        <w:rFonts w:ascii="Arial" w:hAnsi="Arial"/>
        <w:noProof/>
        <w:color w:val="3D9D45"/>
        <w:sz w:val="14"/>
      </w:rPr>
      <w:drawing>
        <wp:inline distT="0" distB="0" distL="0" distR="0" wp14:anchorId="2D22AB40" wp14:editId="26108141">
          <wp:extent cx="1778977" cy="287373"/>
          <wp:effectExtent l="0" t="0" r="0" b="5080"/>
          <wp:docPr id="1034243707" name="Picture 1034243707" descr="A black and green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A black and green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  <w:t xml:space="preserve">            </w:t>
    </w:r>
    <w:hyperlink r:id="rId2" w:history="1">
      <w:r>
        <w:rPr>
          <w:rFonts w:ascii="Arial" w:hAnsi="Arial"/>
          <w:color w:val="3D9D45"/>
          <w:sz w:val="14"/>
        </w:rPr>
        <w:t>717alliance.org</w:t>
      </w:r>
    </w:hyperlink>
  </w:p>
  <w:p w14:paraId="21DE3716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2E3DE7B7" w14:textId="4F00FBE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>
      <w:rPr>
        <w:rFonts w:ascii="Arial" w:hAnsi="Arial"/>
        <w:noProof/>
        <w:color w:val="3D9D45"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3B6DA2" wp14:editId="12555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0"/>
              <wp:effectExtent l="0" t="0" r="12700" b="12700"/>
              <wp:wrapNone/>
              <wp:docPr id="710527434" name="Straight Connector 7105274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E73DFCA" id="Straight Connector 710527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" strokecolor="#d9d9d9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C96"/>
    <w:multiLevelType w:val="hybridMultilevel"/>
    <w:tmpl w:val="84624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8590E"/>
    <w:multiLevelType w:val="hybridMultilevel"/>
    <w:tmpl w:val="72303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2FC"/>
    <w:multiLevelType w:val="hybridMultilevel"/>
    <w:tmpl w:val="3670AD34"/>
    <w:lvl w:ilvl="0" w:tplc="3EC0A4A8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392"/>
    <w:multiLevelType w:val="hybridMultilevel"/>
    <w:tmpl w:val="DEC0E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16C74"/>
    <w:multiLevelType w:val="hybridMultilevel"/>
    <w:tmpl w:val="3670AD3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4472C4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8912">
    <w:abstractNumId w:val="3"/>
  </w:num>
  <w:num w:numId="2" w16cid:durableId="218371287">
    <w:abstractNumId w:val="0"/>
  </w:num>
  <w:num w:numId="3" w16cid:durableId="1592659476">
    <w:abstractNumId w:val="1"/>
  </w:num>
  <w:num w:numId="4" w16cid:durableId="1578437548">
    <w:abstractNumId w:val="5"/>
  </w:num>
  <w:num w:numId="5" w16cid:durableId="99881438">
    <w:abstractNumId w:val="2"/>
  </w:num>
  <w:num w:numId="6" w16cid:durableId="1686591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A"/>
    <w:rsid w:val="000027B7"/>
    <w:rsid w:val="000668D5"/>
    <w:rsid w:val="00072B27"/>
    <w:rsid w:val="00080AA2"/>
    <w:rsid w:val="000A478A"/>
    <w:rsid w:val="000D7165"/>
    <w:rsid w:val="001069BC"/>
    <w:rsid w:val="0010784E"/>
    <w:rsid w:val="00133094"/>
    <w:rsid w:val="00144F5A"/>
    <w:rsid w:val="00173348"/>
    <w:rsid w:val="001A616F"/>
    <w:rsid w:val="001C5BF9"/>
    <w:rsid w:val="001D5241"/>
    <w:rsid w:val="001E2AAC"/>
    <w:rsid w:val="001F0108"/>
    <w:rsid w:val="002127CF"/>
    <w:rsid w:val="002266A9"/>
    <w:rsid w:val="002350DD"/>
    <w:rsid w:val="00251C0E"/>
    <w:rsid w:val="00281C71"/>
    <w:rsid w:val="0029212C"/>
    <w:rsid w:val="002A2E79"/>
    <w:rsid w:val="002C610A"/>
    <w:rsid w:val="002D6EEF"/>
    <w:rsid w:val="002F1F10"/>
    <w:rsid w:val="00302817"/>
    <w:rsid w:val="00311199"/>
    <w:rsid w:val="00337BB8"/>
    <w:rsid w:val="0039532A"/>
    <w:rsid w:val="003B5A73"/>
    <w:rsid w:val="003E61D8"/>
    <w:rsid w:val="0041051E"/>
    <w:rsid w:val="0042209E"/>
    <w:rsid w:val="00433DB1"/>
    <w:rsid w:val="00443426"/>
    <w:rsid w:val="004637A2"/>
    <w:rsid w:val="0046722D"/>
    <w:rsid w:val="004A2A0D"/>
    <w:rsid w:val="004D3E8F"/>
    <w:rsid w:val="004D5683"/>
    <w:rsid w:val="00501BC1"/>
    <w:rsid w:val="00542E7A"/>
    <w:rsid w:val="00565A85"/>
    <w:rsid w:val="00577689"/>
    <w:rsid w:val="00583A3A"/>
    <w:rsid w:val="005C5AEB"/>
    <w:rsid w:val="005D4FB6"/>
    <w:rsid w:val="00607CCD"/>
    <w:rsid w:val="00647C7A"/>
    <w:rsid w:val="00655312"/>
    <w:rsid w:val="00662595"/>
    <w:rsid w:val="00671CE3"/>
    <w:rsid w:val="00674FC0"/>
    <w:rsid w:val="006822F2"/>
    <w:rsid w:val="006950B3"/>
    <w:rsid w:val="006976DC"/>
    <w:rsid w:val="006B1978"/>
    <w:rsid w:val="00710789"/>
    <w:rsid w:val="0071272E"/>
    <w:rsid w:val="00760FB0"/>
    <w:rsid w:val="00787C54"/>
    <w:rsid w:val="007A5CBE"/>
    <w:rsid w:val="007B368B"/>
    <w:rsid w:val="007F7D14"/>
    <w:rsid w:val="00805886"/>
    <w:rsid w:val="008236AE"/>
    <w:rsid w:val="00836233"/>
    <w:rsid w:val="00842D40"/>
    <w:rsid w:val="008C7011"/>
    <w:rsid w:val="00934898"/>
    <w:rsid w:val="009412EA"/>
    <w:rsid w:val="00950DD9"/>
    <w:rsid w:val="009546F2"/>
    <w:rsid w:val="009A56F0"/>
    <w:rsid w:val="009B5820"/>
    <w:rsid w:val="009D13DF"/>
    <w:rsid w:val="009E0B59"/>
    <w:rsid w:val="009E2D67"/>
    <w:rsid w:val="009F5ACC"/>
    <w:rsid w:val="00A84454"/>
    <w:rsid w:val="00A86D53"/>
    <w:rsid w:val="00A87712"/>
    <w:rsid w:val="00A932E2"/>
    <w:rsid w:val="00AA0AA2"/>
    <w:rsid w:val="00B02E83"/>
    <w:rsid w:val="00B24E19"/>
    <w:rsid w:val="00B36790"/>
    <w:rsid w:val="00B458DA"/>
    <w:rsid w:val="00B56206"/>
    <w:rsid w:val="00B61E9E"/>
    <w:rsid w:val="00BA0034"/>
    <w:rsid w:val="00BA17F4"/>
    <w:rsid w:val="00BE17DB"/>
    <w:rsid w:val="00BF3DB1"/>
    <w:rsid w:val="00C27714"/>
    <w:rsid w:val="00C50E62"/>
    <w:rsid w:val="00C9106E"/>
    <w:rsid w:val="00CE2816"/>
    <w:rsid w:val="00CF5854"/>
    <w:rsid w:val="00D01912"/>
    <w:rsid w:val="00D44710"/>
    <w:rsid w:val="00D50886"/>
    <w:rsid w:val="00D57860"/>
    <w:rsid w:val="00D84607"/>
    <w:rsid w:val="00D9351F"/>
    <w:rsid w:val="00D94F51"/>
    <w:rsid w:val="00DD0E36"/>
    <w:rsid w:val="00DD3180"/>
    <w:rsid w:val="00DD7A50"/>
    <w:rsid w:val="00DE587D"/>
    <w:rsid w:val="00DF14B4"/>
    <w:rsid w:val="00DF37C9"/>
    <w:rsid w:val="00E25656"/>
    <w:rsid w:val="00E4516A"/>
    <w:rsid w:val="00E71A14"/>
    <w:rsid w:val="00E84BAF"/>
    <w:rsid w:val="00E93CF1"/>
    <w:rsid w:val="00EF4845"/>
    <w:rsid w:val="00F000CD"/>
    <w:rsid w:val="00F07E2F"/>
    <w:rsid w:val="00F23400"/>
    <w:rsid w:val="00F46A73"/>
    <w:rsid w:val="00F477DF"/>
    <w:rsid w:val="00F60765"/>
    <w:rsid w:val="00F70DA4"/>
    <w:rsid w:val="00F71337"/>
    <w:rsid w:val="00F82806"/>
    <w:rsid w:val="00FB2D59"/>
    <w:rsid w:val="00FB30C3"/>
    <w:rsid w:val="06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3060F"/>
  <w15:chartTrackingRefBased/>
  <w15:docId w15:val="{16ABA9D8-EFC2-47F3-B7BF-A24F5F2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autoRedefine/>
    <w:uiPriority w:val="9"/>
    <w:unhideWhenUsed/>
    <w:qFormat/>
    <w:rsid w:val="00BE17DB"/>
    <w:pPr>
      <w:widowControl w:val="0"/>
      <w:autoSpaceDE w:val="0"/>
      <w:autoSpaceDN w:val="0"/>
      <w:spacing w:before="240" w:after="120" w:line="288" w:lineRule="auto"/>
      <w:outlineLvl w:val="1"/>
    </w:pPr>
    <w:rPr>
      <w:rFonts w:ascii="Arial" w:eastAsia="PublicSans-Thin" w:hAnsi="Arial" w:cs="Arial"/>
      <w:b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E17DB"/>
    <w:pPr>
      <w:widowControl w:val="0"/>
      <w:autoSpaceDE w:val="0"/>
      <w:autoSpaceDN w:val="0"/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4472C4" w:themeColor="accent1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DB"/>
  </w:style>
  <w:style w:type="paragraph" w:styleId="Footer">
    <w:name w:val="footer"/>
    <w:basedOn w:val="Normal"/>
    <w:link w:val="Foot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DB"/>
  </w:style>
  <w:style w:type="character" w:customStyle="1" w:styleId="Heading2Char">
    <w:name w:val="Heading 2 Char"/>
    <w:basedOn w:val="DefaultParagraphFont"/>
    <w:link w:val="Heading2"/>
    <w:uiPriority w:val="9"/>
    <w:rsid w:val="00BE17DB"/>
    <w:rPr>
      <w:rFonts w:ascii="Arial" w:eastAsia="PublicSans-Thin" w:hAnsi="Arial" w:cs="Arial"/>
      <w:b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17DB"/>
    <w:rPr>
      <w:rFonts w:ascii="Arial" w:eastAsia="PublicSans-Thin" w:hAnsi="Arial" w:cs="Arial"/>
      <w:b/>
      <w:color w:val="4472C4" w:themeColor="accent1"/>
      <w:sz w:val="20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7DB"/>
  </w:style>
  <w:style w:type="paragraph" w:customStyle="1" w:styleId="RTSLNumberParagraph">
    <w:name w:val="RTSL Number Paragraph"/>
    <w:basedOn w:val="BodyText"/>
    <w:rsid w:val="00BE17DB"/>
    <w:pPr>
      <w:numPr>
        <w:numId w:val="4"/>
      </w:numPr>
      <w:suppressAutoHyphens/>
      <w:spacing w:after="360" w:line="240" w:lineRule="auto"/>
    </w:pPr>
    <w:rPr>
      <w:rFonts w:ascii="Arial" w:eastAsia="PublicSans-Thin" w:hAnsi="Arial" w:cs="Arial"/>
      <w:sz w:val="20"/>
      <w:szCs w:val="20"/>
    </w:rPr>
  </w:style>
  <w:style w:type="table" w:customStyle="1" w:styleId="717Alliance">
    <w:name w:val="717 Alliance"/>
    <w:basedOn w:val="TableNormal"/>
    <w:uiPriority w:val="99"/>
    <w:rsid w:val="00BE17DB"/>
    <w:pPr>
      <w:spacing w:before="120" w:after="120" w:line="240" w:lineRule="auto"/>
      <w:ind w:left="144" w:right="144"/>
    </w:pPr>
    <w:rPr>
      <w:rFonts w:ascii="Arial" w:hAnsi="Arial"/>
    </w:rPr>
    <w:tblPr>
      <w:tblStyleRowBandSize w:val="1"/>
      <w:tblBorders>
        <w:top w:val="single" w:sz="4" w:space="0" w:color="ABB8C3"/>
        <w:left w:val="single" w:sz="4" w:space="0" w:color="ABB8C3"/>
        <w:bottom w:val="single" w:sz="4" w:space="0" w:color="ABB8C3"/>
        <w:right w:val="single" w:sz="4" w:space="0" w:color="ABB8C3"/>
        <w:insideH w:val="single" w:sz="4" w:space="0" w:color="ABB8C3"/>
        <w:insideV w:val="single" w:sz="4" w:space="0" w:color="ABB8C3"/>
      </w:tblBorders>
    </w:tblPr>
    <w:tcPr>
      <w:shd w:val="clear" w:color="auto" w:fill="auto"/>
    </w:tcPr>
    <w:tblStylePr w:type="firstRow">
      <w:tblPr/>
      <w:tcPr>
        <w:shd w:val="clear" w:color="auto" w:fill="3BB041"/>
      </w:tcPr>
    </w:tblStylePr>
    <w:tblStylePr w:type="firstCol">
      <w:tblPr/>
      <w:tcPr>
        <w:shd w:val="clear" w:color="auto" w:fill="CCDDE8"/>
      </w:tcPr>
    </w:tblStylePr>
    <w:tblStylePr w:type="band2Horz">
      <w:tblPr/>
      <w:tcPr>
        <w:shd w:val="clear" w:color="auto" w:fill="EDF3F7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1A1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C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CF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E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7AD805988241A52A665B6AA36C68" ma:contentTypeVersion="18" ma:contentTypeDescription="Create a new document." ma:contentTypeScope="" ma:versionID="ac87c9e7aacfeae13b70d86e628c7272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b7fd705ecb9963389d4471934e178b7f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8d6d4-1e95-49d0-ad8b-8a60c47dc760">
      <Terms xmlns="http://schemas.microsoft.com/office/infopath/2007/PartnerControls"/>
    </lcf76f155ced4ddcb4097134ff3c332f>
    <TaxCatchAll xmlns="c5613cd5-748e-412e-9a2f-bebdac0f41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B1388-9400-46DE-ADEE-D1E7DF996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3cd5-748e-412e-9a2f-bebdac0f41fd"/>
    <ds:schemaRef ds:uri="d278d6d4-1e95-49d0-ad8b-8a60c47d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BB32C-96A6-4C28-B021-C4651D36995A}">
  <ds:schemaRefs>
    <ds:schemaRef ds:uri="http://schemas.microsoft.com/office/2006/metadata/properties"/>
    <ds:schemaRef ds:uri="http://schemas.microsoft.com/office/infopath/2007/PartnerControls"/>
    <ds:schemaRef ds:uri="d278d6d4-1e95-49d0-ad8b-8a60c47dc760"/>
    <ds:schemaRef ds:uri="c5613cd5-748e-412e-9a2f-bebdac0f41fd"/>
  </ds:schemaRefs>
</ds:datastoreItem>
</file>

<file path=customXml/itemProps3.xml><?xml version="1.0" encoding="utf-8"?>
<ds:datastoreItem xmlns:ds="http://schemas.openxmlformats.org/officeDocument/2006/customXml" ds:itemID="{A352E439-7AA5-4856-B941-9F540767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https://717alliance.org/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Bochner</dc:creator>
  <cp:keywords/>
  <dc:description/>
  <cp:lastModifiedBy>Marie Deveaux</cp:lastModifiedBy>
  <cp:revision>2</cp:revision>
  <dcterms:created xsi:type="dcterms:W3CDTF">2025-03-25T21:28:00Z</dcterms:created>
  <dcterms:modified xsi:type="dcterms:W3CDTF">2025-03-25T21:28:00Z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2022-12-08T07:45:43Z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4980d527-4eb1-4a6a-ae07-0cf773001985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0x010100A98D7AD805988241A52A665B6AA36C68</vt:lpwstr>
  </property>
  <property fmtid="{D5CDD505-2E9C-101B-9397-08002B2CF9AE}" pid="10" name="GrammarlyDocumentId">
    <vt:lpwstr>f57c208a4554ac949498a8ee7f1bb822f500a6dce2c2623ef2a9d8e50a56e7f0</vt:lpwstr>
  </property>
  <property fmtid="{D5CDD505-2E9C-101B-9397-08002B2CF9AE}" pid="11" name="MediaServiceImageTags">
    <vt:lpwstr/>
  </property>
  <property fmtid="{D5CDD505-2E9C-101B-9397-08002B2CF9AE}" pid="12" name="_dlc_DocIdItemGuid">
    <vt:lpwstr>45d5482f-c8dc-4d76-a8c1-cbf8581afbd5</vt:lpwstr>
  </property>
</Properties>
</file>