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66FF9" w14:textId="77777777" w:rsidR="00B025A3" w:rsidRDefault="009C3EFE" w:rsidP="009C3EFE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E0DF79A" wp14:editId="268B9766">
                <wp:simplePos x="0" y="0"/>
                <wp:positionH relativeFrom="column">
                  <wp:posOffset>7620</wp:posOffset>
                </wp:positionH>
                <wp:positionV relativeFrom="margin">
                  <wp:posOffset>616585</wp:posOffset>
                </wp:positionV>
                <wp:extent cx="6102350" cy="2003425"/>
                <wp:effectExtent l="0" t="0" r="6350" b="3175"/>
                <wp:wrapTopAndBottom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2350" cy="20034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0ADCF0" w14:textId="77777777" w:rsidR="00B025A3" w:rsidRPr="00B025A3" w:rsidRDefault="00B025A3" w:rsidP="00C04070">
                            <w:pPr>
                              <w:pStyle w:val="Heading2"/>
                              <w:spacing w:before="120"/>
                              <w:ind w:left="181" w:right="136"/>
                            </w:pPr>
                            <w:r>
                              <w:t>Visão geral</w:t>
                            </w:r>
                          </w:p>
                          <w:p w14:paraId="7CCAC591" w14:textId="51103E4F" w:rsidR="00421AAE" w:rsidRDefault="00B025A3" w:rsidP="00F66C5F">
                            <w:pPr>
                              <w:pStyle w:val="ListParagraph"/>
                              <w:numPr>
                                <w:ilvl w:val="0"/>
                                <w:numId w:val="0"/>
                              </w:numPr>
                              <w:spacing w:line="276" w:lineRule="auto"/>
                              <w:ind w:left="180" w:right="137"/>
                            </w:pPr>
                            <w:r>
                              <w:t xml:space="preserve">Utilize este guia para incorporar a meta 7-1-7 para detecção, notificação e resposta </w:t>
                            </w:r>
                            <w:r w:rsidR="0099122D">
                              <w:t>oportuna</w:t>
                            </w:r>
                            <w:r>
                              <w:t xml:space="preserve"> de surtos de doenças em uma </w:t>
                            </w:r>
                            <w:hyperlink r:id="rId11" w:history="1">
                              <w:r>
                                <w:rPr>
                                  <w:rStyle w:val="Hyperlink"/>
                                </w:rPr>
                                <w:t>Revisão pós-ação</w:t>
                              </w:r>
                            </w:hyperlink>
                            <w:r>
                              <w:t xml:space="preserve"> (AAR). A incorporação dos achados do 7-1-7 pode permitir que gargalos críticos, facilitadores e ações corretivas da fase inicial do surto sejam priorizados para discussão em plenário e integração no planejamento de acompanhamento.</w:t>
                            </w:r>
                          </w:p>
                          <w:p w14:paraId="0A0A387A" w14:textId="77777777" w:rsidR="00B025A3" w:rsidRPr="00B025A3" w:rsidRDefault="00B025A3" w:rsidP="00F66C5F">
                            <w:pPr>
                              <w:pStyle w:val="ListParagraph"/>
                              <w:numPr>
                                <w:ilvl w:val="0"/>
                                <w:numId w:val="0"/>
                              </w:numPr>
                              <w:spacing w:line="276" w:lineRule="auto"/>
                              <w:ind w:left="180" w:right="137"/>
                              <w:rPr>
                                <w:szCs w:val="20"/>
                              </w:rPr>
                            </w:pPr>
                            <w:r>
                              <w:t xml:space="preserve">A metodologia descrita aqui pode ser facilmente adaptada ao formato padrão de AAR da OMS. Os países que implementam o 7-1-7 podem usar a documentação existente para alimentar o processo de AAR, enquanto os países sem essa documentação podem usar o modelo fornecido para se preparar para a AAR. </w:t>
                            </w:r>
                          </w:p>
                          <w:p w14:paraId="452549E8" w14:textId="77777777" w:rsidR="004A3E79" w:rsidRPr="004A3E79" w:rsidRDefault="004A3E79" w:rsidP="0053791C">
                            <w:pPr>
                              <w:pStyle w:val="ListParagraph"/>
                              <w:numPr>
                                <w:ilvl w:val="0"/>
                                <w:numId w:val="0"/>
                              </w:numPr>
                              <w:ind w:left="45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0DF7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.6pt;margin-top:48.55pt;width:480.5pt;height:157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" fillcolor="#edf3f7 [3214]" stroked="f" strokeweight=".5pt">
                <v:textbox>
                  <w:txbxContent>
                    <w:p w14:paraId="350ADCF0" w14:textId="77777777" w:rsidR="00B025A3" w:rsidRPr="00B025A3" w:rsidRDefault="00B025A3" w:rsidP="00C04070">
                      <w:pPr>
                        <w:pStyle w:val="Heading2"/>
                        <w:spacing w:before="120"/>
                        <w:ind w:left="181" w:right="136"/>
                      </w:pPr>
                      <w:r>
                        <w:t>Visão geral</w:t>
                      </w:r>
                    </w:p>
                    <w:p w14:paraId="7CCAC591" w14:textId="51103E4F" w:rsidR="00421AAE" w:rsidRDefault="00B025A3" w:rsidP="00F66C5F">
                      <w:pPr>
                        <w:pStyle w:val="ListParagraph"/>
                        <w:numPr>
                          <w:ilvl w:val="0"/>
                          <w:numId w:val="0"/>
                        </w:numPr>
                        <w:spacing w:line="276" w:lineRule="auto"/>
                        <w:ind w:left="180" w:right="137"/>
                      </w:pPr>
                      <w:r>
                        <w:t xml:space="preserve">Utilize este guia para incorporar a meta 7-1-7 para detecção, notificação e resposta </w:t>
                      </w:r>
                      <w:r w:rsidR="0099122D">
                        <w:t>oportuna</w:t>
                      </w:r>
                      <w:r>
                        <w:t xml:space="preserve"> de surtos de doenças em uma </w:t>
                      </w:r>
                      <w:hyperlink r:id="rId12" w:history="1">
                        <w:r>
                          <w:rPr>
                            <w:rStyle w:val="Hyperlink"/>
                          </w:rPr>
                          <w:t>Revisão pós-ação</w:t>
                        </w:r>
                      </w:hyperlink>
                      <w:r>
                        <w:t xml:space="preserve"> (AAR). A incorporação dos achados do 7-1-7 pode permitir que gargalos críticos, facilitadores e ações corretivas da fase inicial do surto sejam priorizados para discussão em plenário e integração no planejamento de acompanhamento.</w:t>
                      </w:r>
                    </w:p>
                    <w:p w14:paraId="0A0A387A" w14:textId="77777777" w:rsidR="00B025A3" w:rsidRPr="00B025A3" w:rsidRDefault="00B025A3" w:rsidP="00F66C5F">
                      <w:pPr>
                        <w:pStyle w:val="ListParagraph"/>
                        <w:numPr>
                          <w:ilvl w:val="0"/>
                          <w:numId w:val="0"/>
                        </w:numPr>
                        <w:spacing w:line="276" w:lineRule="auto"/>
                        <w:ind w:left="180" w:right="137"/>
                        <w:rPr>
                          <w:szCs w:val="20"/>
                        </w:rPr>
                      </w:pPr>
                      <w:r>
                        <w:t xml:space="preserve">A metodologia descrita aqui pode ser facilmente adaptada ao formato padrão de AAR da OMS. Os países que implementam o 7-1-7 podem usar a documentação existente para alimentar o processo de AAR, enquanto os países sem essa documentação podem usar o modelo fornecido para se preparar para a AAR. </w:t>
                      </w:r>
                    </w:p>
                    <w:p w14:paraId="452549E8" w14:textId="77777777" w:rsidR="004A3E79" w:rsidRPr="004A3E79" w:rsidRDefault="004A3E79" w:rsidP="0053791C">
                      <w:pPr>
                        <w:pStyle w:val="ListParagraph"/>
                        <w:numPr>
                          <w:ilvl w:val="0"/>
                          <w:numId w:val="0"/>
                        </w:numPr>
                        <w:ind w:left="451"/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>
        <w:t>Alavancando o 7-1-7 nas revisões pós-ação</w:t>
      </w:r>
      <w:r>
        <w:br/>
      </w:r>
    </w:p>
    <w:p w14:paraId="1622719C" w14:textId="77777777" w:rsidR="009C3EFE" w:rsidRPr="00C04070" w:rsidRDefault="009C3EFE" w:rsidP="009C3EFE">
      <w:pPr>
        <w:pStyle w:val="Heading1"/>
        <w:spacing w:before="0" w:after="0"/>
        <w:rPr>
          <w:sz w:val="24"/>
          <w:szCs w:val="36"/>
        </w:rPr>
      </w:pPr>
    </w:p>
    <w:p w14:paraId="426D3275" w14:textId="77777777" w:rsidR="004A3E79" w:rsidRPr="00DD0129" w:rsidRDefault="00B025A3" w:rsidP="009C3EFE">
      <w:pPr>
        <w:pStyle w:val="Heading2"/>
        <w:spacing w:before="0"/>
      </w:pPr>
      <w:r>
        <w:t>Objetivos</w:t>
      </w:r>
    </w:p>
    <w:p w14:paraId="72358299" w14:textId="77777777" w:rsidR="00B025A3" w:rsidRPr="00B025A3" w:rsidRDefault="004B313E" w:rsidP="00B025A3">
      <w:pPr>
        <w:pStyle w:val="ListParagraph"/>
        <w:numPr>
          <w:ilvl w:val="0"/>
          <w:numId w:val="43"/>
        </w:numPr>
      </w:pPr>
      <w:r>
        <w:t xml:space="preserve">Apresentar às partes interessadas a meta 7-1-7 e permitir o apoio ao seu uso na AAR. </w:t>
      </w:r>
    </w:p>
    <w:p w14:paraId="09E02E75" w14:textId="77777777" w:rsidR="00B025A3" w:rsidRPr="00B025A3" w:rsidRDefault="00B025A3" w:rsidP="00B025A3">
      <w:pPr>
        <w:pStyle w:val="ListParagraph"/>
        <w:numPr>
          <w:ilvl w:val="0"/>
          <w:numId w:val="43"/>
        </w:numPr>
      </w:pPr>
      <w:r>
        <w:t xml:space="preserve">Documentar a métrica de pontualidade 7-1-7, os gargalos, os facilitadores e as ações corretivas. </w:t>
      </w:r>
    </w:p>
    <w:p w14:paraId="7862F02E" w14:textId="77777777" w:rsidR="004A3E79" w:rsidRPr="00DD0129" w:rsidRDefault="00B025A3" w:rsidP="00C04070">
      <w:pPr>
        <w:pStyle w:val="ListParagraph"/>
        <w:numPr>
          <w:ilvl w:val="0"/>
          <w:numId w:val="43"/>
        </w:numPr>
        <w:spacing w:after="240"/>
        <w:ind w:left="629" w:right="363" w:hanging="357"/>
      </w:pPr>
      <w:r>
        <w:t>Fazer referência à documentação do 7-1-7 para informar as principais etapas descritas na orientação da OMS.</w:t>
      </w:r>
    </w:p>
    <w:p w14:paraId="06A4FEF7" w14:textId="77777777" w:rsidR="00B025A3" w:rsidRPr="00B025A3" w:rsidRDefault="00B025A3" w:rsidP="00B025A3">
      <w:pPr>
        <w:pStyle w:val="Heading2"/>
      </w:pPr>
      <w:r>
        <w:t>Instruções</w:t>
      </w:r>
    </w:p>
    <w:p w14:paraId="02D5ECBA" w14:textId="77777777" w:rsidR="00B025A3" w:rsidRPr="00DD0129" w:rsidRDefault="00B025A3" w:rsidP="00B025A3">
      <w:pPr>
        <w:pStyle w:val="Heading3"/>
      </w:pPr>
      <w:r>
        <w:t>Antes da Revisão Pós-Ação</w:t>
      </w:r>
    </w:p>
    <w:p w14:paraId="63E74860" w14:textId="77777777" w:rsidR="00B025A3" w:rsidRPr="00B025A3" w:rsidRDefault="00BE03F5" w:rsidP="00B025A3">
      <w:pPr>
        <w:pStyle w:val="Heading4"/>
        <w:numPr>
          <w:ilvl w:val="0"/>
          <w:numId w:val="44"/>
        </w:numPr>
        <w:rPr>
          <w:bCs/>
        </w:rPr>
      </w:pPr>
      <w:r>
        <w:t>Apresente às partes interessadas a meta 7-1-7 e facilite o apoio</w:t>
      </w:r>
    </w:p>
    <w:p w14:paraId="3AD07C8B" w14:textId="1396A16A" w:rsidR="00B025A3" w:rsidRPr="00B025A3" w:rsidRDefault="00B025A3" w:rsidP="00C04070">
      <w:pPr>
        <w:pStyle w:val="BodyText"/>
        <w:spacing w:after="240"/>
        <w:ind w:right="448"/>
      </w:pPr>
      <w:r>
        <w:t xml:space="preserve">Forneça uma </w:t>
      </w:r>
      <w:hyperlink r:id="rId13" w:history="1">
        <w:r>
          <w:rPr>
            <w:rStyle w:val="Hyperlink"/>
          </w:rPr>
          <w:t>introdução de alto nível à meta 7-1-7</w:t>
        </w:r>
      </w:hyperlink>
      <w:r>
        <w:t xml:space="preserve"> e a metodologia AAR proposta. É importante possibilitar a compreensão e o apoio dos participantes, da liderança de alto nível e dos parceiros relevantes, como a OMS, para alavancar o 7-1-7 para aprendizado e melhoria na AAR. </w:t>
      </w:r>
    </w:p>
    <w:p w14:paraId="6B46C007" w14:textId="77777777" w:rsidR="00B025A3" w:rsidRPr="00B025A3" w:rsidRDefault="00B025A3" w:rsidP="009C3EFE">
      <w:pPr>
        <w:pStyle w:val="Heading4"/>
        <w:numPr>
          <w:ilvl w:val="0"/>
          <w:numId w:val="44"/>
        </w:numPr>
        <w:rPr>
          <w:bCs/>
        </w:rPr>
      </w:pPr>
      <w:r>
        <w:t xml:space="preserve">Documentar os dados do 7-1-7 </w:t>
      </w:r>
    </w:p>
    <w:p w14:paraId="1441BD17" w14:textId="36AD0C87" w:rsidR="009C3EFE" w:rsidRPr="00B025A3" w:rsidRDefault="00B025A3" w:rsidP="00C04070">
      <w:pPr>
        <w:pStyle w:val="BodyText"/>
        <w:spacing w:after="240"/>
        <w:ind w:right="448"/>
        <w:rPr>
          <w:bCs/>
        </w:rPr>
      </w:pPr>
      <w:r>
        <w:t xml:space="preserve">Preencha o </w:t>
      </w:r>
      <w:hyperlink r:id="rId14" w:history="1">
        <w:r>
          <w:rPr>
            <w:rStyle w:val="Hyperlink"/>
          </w:rPr>
          <w:t>modelo de revisão do evento</w:t>
        </w:r>
      </w:hyperlink>
      <w:r>
        <w:t xml:space="preserve"> para compilar as métricas de pontualidade, os gargalos, os facilitadores e as ações do 7-1-7. Esse modelo será apresentado em plenário e distribuído às partes interessadas como um documento de referência durante a AAR. Os países que usam a meta 7-1-7 podem consultar a documentação existente para preencher esses slides, inclusive a </w:t>
      </w:r>
      <w:hyperlink r:id="rId15" w:history="1">
        <w:r>
          <w:rPr>
            <w:rStyle w:val="Hyperlink"/>
          </w:rPr>
          <w:t>Ferramenta de Avaliação 7-1-7</w:t>
        </w:r>
      </w:hyperlink>
      <w:r>
        <w:t xml:space="preserve"> se ela tiver sido usada durante a coleta de dados. Os países sem documentação existente podem obter dados de registros epidemiológicos, relatórios e outros meios de comunicação. </w:t>
      </w:r>
    </w:p>
    <w:p w14:paraId="38FFC83D" w14:textId="77777777" w:rsidR="009C3EFE" w:rsidRPr="00DD0129" w:rsidRDefault="009C3EFE" w:rsidP="009C3EFE">
      <w:pPr>
        <w:pStyle w:val="Heading3"/>
      </w:pPr>
      <w:r>
        <w:t>Durante e após a AAR</w:t>
      </w:r>
    </w:p>
    <w:p w14:paraId="47B19E6E" w14:textId="77777777" w:rsidR="009C3EFE" w:rsidRPr="009C3EFE" w:rsidRDefault="009C3EFE" w:rsidP="009C3EFE">
      <w:pPr>
        <w:pStyle w:val="Heading4"/>
        <w:numPr>
          <w:ilvl w:val="0"/>
          <w:numId w:val="44"/>
        </w:numPr>
        <w:rPr>
          <w:bCs/>
        </w:rPr>
      </w:pPr>
      <w:r>
        <w:t xml:space="preserve">Apresente os resultados do 7-1-7 e faça referência a eles durante as discussões </w:t>
      </w:r>
    </w:p>
    <w:p w14:paraId="1704AB5D" w14:textId="77777777" w:rsidR="00F66C5F" w:rsidRDefault="009C3EFE" w:rsidP="00C04070">
      <w:pPr>
        <w:pStyle w:val="BodyText"/>
        <w:ind w:right="79"/>
      </w:pPr>
      <w:r>
        <w:t>Inclua um item na agenda para uma introdução ao 7-1-7 no início da AAR para apresentar a introdução de alto nível e os modelos de revisão de eventos acima. Observe que a avaliação da ação inicial por meio do 7-1-</w:t>
      </w:r>
      <w:proofErr w:type="gramStart"/>
      <w:r>
        <w:t>7 ajuda</w:t>
      </w:r>
      <w:proofErr w:type="gramEnd"/>
      <w:r>
        <w:t xml:space="preserve"> a complementar, e não a substituir, uma análise abrangente da resposta, incluindo as fases posteriores. </w:t>
      </w:r>
    </w:p>
    <w:p w14:paraId="0417CCBD" w14:textId="292EDE5C" w:rsidR="009C3EFE" w:rsidRPr="00426380" w:rsidRDefault="009C3EFE" w:rsidP="00C04070">
      <w:pPr>
        <w:pStyle w:val="BodyText"/>
        <w:ind w:right="79"/>
        <w:rPr>
          <w:bCs/>
        </w:rPr>
      </w:pPr>
      <w:r>
        <w:lastRenderedPageBreak/>
        <w:t>Os participantes devem receber uma cópia da documentação relevante, como o modelo de revisão de evento preenchido, para servir como documento de referência. Os facilitadores devem incentivar os participantes a usar os dados nas principais etapas descritas na orientação da OMS sobre AAR (veja abaixo).</w:t>
      </w:r>
    </w:p>
    <w:tbl>
      <w:tblPr>
        <w:tblStyle w:val="717Alliance"/>
        <w:tblW w:w="9805" w:type="dxa"/>
        <w:tblLook w:val="04A0" w:firstRow="1" w:lastRow="0" w:firstColumn="1" w:lastColumn="0" w:noHBand="0" w:noVBand="1"/>
      </w:tblPr>
      <w:tblGrid>
        <w:gridCol w:w="918"/>
        <w:gridCol w:w="3968"/>
        <w:gridCol w:w="2302"/>
        <w:gridCol w:w="2617"/>
      </w:tblGrid>
      <w:tr w:rsidR="009C3EFE" w:rsidRPr="009C3EFE" w14:paraId="76623D73" w14:textId="77777777" w:rsidTr="009C3E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5" w:type="dxa"/>
            <w:gridSpan w:val="2"/>
          </w:tcPr>
          <w:p w14:paraId="20161BEB" w14:textId="77777777" w:rsidR="009C3EFE" w:rsidRPr="009C3EFE" w:rsidRDefault="009C3EFE" w:rsidP="009C3EFE">
            <w:pPr>
              <w:pStyle w:val="BodyText"/>
              <w:autoSpaceDE w:val="0"/>
              <w:autoSpaceDN w:val="0"/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Etapa </w:t>
            </w:r>
          </w:p>
        </w:tc>
        <w:tc>
          <w:tcPr>
            <w:tcW w:w="2340" w:type="dxa"/>
          </w:tcPr>
          <w:p w14:paraId="0B39D520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Dados do 7-1-7 referenciados</w:t>
            </w:r>
          </w:p>
        </w:tc>
        <w:tc>
          <w:tcPr>
            <w:tcW w:w="2700" w:type="dxa"/>
          </w:tcPr>
          <w:p w14:paraId="44B1DC6E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Resultado da AAR  </w:t>
            </w:r>
          </w:p>
        </w:tc>
      </w:tr>
      <w:tr w:rsidR="009C3EFE" w:rsidRPr="009C3EFE" w14:paraId="7DD602F5" w14:textId="77777777" w:rsidTr="009C3E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dxa"/>
          </w:tcPr>
          <w:p w14:paraId="31DC6EA6" w14:textId="77777777" w:rsidR="009C3EFE" w:rsidRPr="009C3EFE" w:rsidRDefault="009C3EFE" w:rsidP="009C3EFE">
            <w:pPr>
              <w:pStyle w:val="BodyText"/>
              <w:autoSpaceDE w:val="0"/>
              <w:autoSpaceDN w:val="0"/>
              <w:rPr>
                <w:bCs/>
              </w:rPr>
            </w:pPr>
            <w:r>
              <w:t>1</w:t>
            </w:r>
          </w:p>
        </w:tc>
        <w:tc>
          <w:tcPr>
            <w:tcW w:w="4432" w:type="dxa"/>
          </w:tcPr>
          <w:p w14:paraId="708D922B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O que existia antes da resposta?</w:t>
            </w:r>
          </w:p>
        </w:tc>
        <w:tc>
          <w:tcPr>
            <w:tcW w:w="2340" w:type="dxa"/>
          </w:tcPr>
          <w:p w14:paraId="022D80D9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Gargalos, facilitadores</w:t>
            </w:r>
          </w:p>
        </w:tc>
        <w:tc>
          <w:tcPr>
            <w:tcW w:w="2700" w:type="dxa"/>
          </w:tcPr>
          <w:p w14:paraId="26B4B6D0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Inventário de capacidades</w:t>
            </w:r>
          </w:p>
        </w:tc>
      </w:tr>
      <w:tr w:rsidR="009C3EFE" w:rsidRPr="009C3EFE" w14:paraId="53877B27" w14:textId="77777777" w:rsidTr="009C3E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dxa"/>
          </w:tcPr>
          <w:p w14:paraId="163C6718" w14:textId="77777777" w:rsidR="009C3EFE" w:rsidRPr="009C3EFE" w:rsidRDefault="009C3EFE" w:rsidP="009C3EFE">
            <w:pPr>
              <w:pStyle w:val="BodyText"/>
              <w:autoSpaceDE w:val="0"/>
              <w:autoSpaceDN w:val="0"/>
              <w:rPr>
                <w:bCs/>
              </w:rPr>
            </w:pPr>
            <w:r>
              <w:t>2</w:t>
            </w:r>
          </w:p>
        </w:tc>
        <w:tc>
          <w:tcPr>
            <w:tcW w:w="4432" w:type="dxa"/>
          </w:tcPr>
          <w:p w14:paraId="264BC163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</w:rPr>
            </w:pPr>
            <w:r>
              <w:t xml:space="preserve">O que aconteceu durante a resposta? </w:t>
            </w:r>
          </w:p>
        </w:tc>
        <w:tc>
          <w:tcPr>
            <w:tcW w:w="2340" w:type="dxa"/>
          </w:tcPr>
          <w:p w14:paraId="4346B93F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</w:rPr>
            </w:pPr>
            <w:r>
              <w:t>Métricas e narrativas de pontualidade</w:t>
            </w:r>
          </w:p>
        </w:tc>
        <w:tc>
          <w:tcPr>
            <w:tcW w:w="2700" w:type="dxa"/>
          </w:tcPr>
          <w:p w14:paraId="0B3D8E44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</w:rPr>
            </w:pPr>
            <w:r>
              <w:t>Linha do tempo do evento</w:t>
            </w:r>
          </w:p>
        </w:tc>
      </w:tr>
      <w:tr w:rsidR="009C3EFE" w:rsidRPr="009C3EFE" w14:paraId="15F73F61" w14:textId="77777777" w:rsidTr="009C3E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dxa"/>
          </w:tcPr>
          <w:p w14:paraId="0F8C66B4" w14:textId="77777777" w:rsidR="009C3EFE" w:rsidRPr="009C3EFE" w:rsidRDefault="009C3EFE" w:rsidP="009C3EFE">
            <w:pPr>
              <w:pStyle w:val="BodyText"/>
              <w:autoSpaceDE w:val="0"/>
              <w:autoSpaceDN w:val="0"/>
              <w:rPr>
                <w:bCs/>
              </w:rPr>
            </w:pPr>
            <w:r>
              <w:t>3</w:t>
            </w:r>
          </w:p>
        </w:tc>
        <w:tc>
          <w:tcPr>
            <w:tcW w:w="4432" w:type="dxa"/>
          </w:tcPr>
          <w:p w14:paraId="184CD193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O que correu bem? O que não foi tão bem? Por quê?</w:t>
            </w:r>
          </w:p>
        </w:tc>
        <w:tc>
          <w:tcPr>
            <w:tcW w:w="2340" w:type="dxa"/>
          </w:tcPr>
          <w:p w14:paraId="5610A122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Gargalos, facilitadores</w:t>
            </w:r>
          </w:p>
        </w:tc>
        <w:tc>
          <w:tcPr>
            <w:tcW w:w="2700" w:type="dxa"/>
          </w:tcPr>
          <w:p w14:paraId="5702800C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Desafios, melhores práticas</w:t>
            </w:r>
          </w:p>
        </w:tc>
      </w:tr>
      <w:tr w:rsidR="009C3EFE" w:rsidRPr="009C3EFE" w14:paraId="231996C9" w14:textId="77777777" w:rsidTr="009C3E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dxa"/>
          </w:tcPr>
          <w:p w14:paraId="494718BF" w14:textId="77777777" w:rsidR="009C3EFE" w:rsidRPr="009C3EFE" w:rsidRDefault="009C3EFE" w:rsidP="009C3EFE">
            <w:pPr>
              <w:pStyle w:val="BodyText"/>
              <w:autoSpaceDE w:val="0"/>
              <w:autoSpaceDN w:val="0"/>
              <w:rPr>
                <w:bCs/>
              </w:rPr>
            </w:pPr>
            <w:r>
              <w:t>4</w:t>
            </w:r>
          </w:p>
        </w:tc>
        <w:tc>
          <w:tcPr>
            <w:tcW w:w="4432" w:type="dxa"/>
          </w:tcPr>
          <w:p w14:paraId="478D2D2E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</w:rPr>
            </w:pPr>
            <w:r>
              <w:t xml:space="preserve">O que podemos fazer para melhorar na próxima vez? </w:t>
            </w:r>
          </w:p>
        </w:tc>
        <w:tc>
          <w:tcPr>
            <w:tcW w:w="2340" w:type="dxa"/>
          </w:tcPr>
          <w:p w14:paraId="0E0B16BB" w14:textId="77777777" w:rsidR="009C3EFE" w:rsidRPr="009C3EFE" w:rsidRDefault="006B6443" w:rsidP="009C3EFE">
            <w:pPr>
              <w:pStyle w:val="BodyText"/>
              <w:autoSpaceDE w:val="0"/>
              <w:autoSpaceDN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</w:rPr>
            </w:pPr>
            <w:r>
              <w:t xml:space="preserve">Ações imediatas e de longo prazo </w:t>
            </w:r>
          </w:p>
        </w:tc>
        <w:tc>
          <w:tcPr>
            <w:tcW w:w="2700" w:type="dxa"/>
          </w:tcPr>
          <w:p w14:paraId="5A73AF51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</w:rPr>
            </w:pPr>
            <w:r>
              <w:t>Ações corretivas</w:t>
            </w:r>
          </w:p>
        </w:tc>
      </w:tr>
      <w:tr w:rsidR="009C3EFE" w:rsidRPr="009C3EFE" w14:paraId="0EF130D2" w14:textId="77777777" w:rsidTr="009C3E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dxa"/>
          </w:tcPr>
          <w:p w14:paraId="27BA6720" w14:textId="77777777" w:rsidR="009C3EFE" w:rsidRPr="009C3EFE" w:rsidRDefault="009C3EFE" w:rsidP="009C3EFE">
            <w:pPr>
              <w:pStyle w:val="BodyText"/>
              <w:autoSpaceDE w:val="0"/>
              <w:autoSpaceDN w:val="0"/>
              <w:rPr>
                <w:bCs/>
              </w:rPr>
            </w:pPr>
            <w:r>
              <w:t>5</w:t>
            </w:r>
          </w:p>
        </w:tc>
        <w:tc>
          <w:tcPr>
            <w:tcW w:w="4432" w:type="dxa"/>
          </w:tcPr>
          <w:p w14:paraId="351302C1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O caminho para o futuro</w:t>
            </w:r>
          </w:p>
        </w:tc>
        <w:tc>
          <w:tcPr>
            <w:tcW w:w="2340" w:type="dxa"/>
          </w:tcPr>
          <w:p w14:paraId="355D6E92" w14:textId="77777777" w:rsidR="009C3EFE" w:rsidRPr="009C3EFE" w:rsidRDefault="009C3EFE" w:rsidP="009C3EFE">
            <w:pPr>
              <w:pStyle w:val="BodyText"/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Diversos</w:t>
            </w:r>
          </w:p>
        </w:tc>
        <w:tc>
          <w:tcPr>
            <w:tcW w:w="2700" w:type="dxa"/>
          </w:tcPr>
          <w:p w14:paraId="5C67A351" w14:textId="77777777" w:rsidR="009C3EFE" w:rsidRPr="009C3EFE" w:rsidRDefault="009C3EFE" w:rsidP="009C3EFE">
            <w:pPr>
              <w:pStyle w:val="BodyText"/>
              <w:autoSpaceDE w:val="0"/>
              <w:autoSpaceDN w:val="0"/>
              <w:ind w:right="2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Relatórios, acompanhamento, defesa e planejamento</w:t>
            </w:r>
          </w:p>
        </w:tc>
      </w:tr>
    </w:tbl>
    <w:p w14:paraId="55EAAC53" w14:textId="77777777" w:rsidR="009C3EFE" w:rsidRDefault="009C3EFE" w:rsidP="00B025A3">
      <w:pPr>
        <w:pStyle w:val="BodyText"/>
      </w:pPr>
    </w:p>
    <w:p w14:paraId="26E1C34C" w14:textId="77777777" w:rsidR="009C3EFE" w:rsidRPr="009C3EFE" w:rsidRDefault="009C3EFE" w:rsidP="049A6CB8">
      <w:pPr>
        <w:pStyle w:val="BodyText"/>
      </w:pPr>
      <w:r>
        <w:t>Após a AAR, aproveite os achados do 7-1-7 para comunicar facilmente o desempenho, os gargalos e os facilitadores e as medidas de melhoria para apoiar a defesa e o planejamento nacional, por exemplo, os Planos de Ação Nacional para Segurança da Saúde (NAPHS).</w:t>
      </w:r>
    </w:p>
    <w:sectPr w:rsidR="009C3EFE" w:rsidRPr="009C3EFE" w:rsidSect="0021781B">
      <w:headerReference w:type="default" r:id="rId16"/>
      <w:footerReference w:type="default" r:id="rId17"/>
      <w:headerReference w:type="first" r:id="rId18"/>
      <w:footerReference w:type="first" r:id="rId19"/>
      <w:pgSz w:w="11910" w:h="16840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04669" w14:textId="77777777" w:rsidR="00E86B47" w:rsidRDefault="00E86B47">
      <w:r>
        <w:separator/>
      </w:r>
    </w:p>
  </w:endnote>
  <w:endnote w:type="continuationSeparator" w:id="0">
    <w:p w14:paraId="58BE9661" w14:textId="77777777" w:rsidR="00E86B47" w:rsidRDefault="00E86B47">
      <w:r>
        <w:continuationSeparator/>
      </w:r>
    </w:p>
  </w:endnote>
  <w:endnote w:type="continuationNotice" w:id="1">
    <w:p w14:paraId="51220D6B" w14:textId="77777777" w:rsidR="00E86B47" w:rsidRDefault="00E86B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ublicSans-Thin">
    <w:altName w:val="Calibri"/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altName w:val="Calibri"/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95F5A" w14:textId="77777777" w:rsidR="008F1ABC" w:rsidRDefault="008D269C" w:rsidP="004A3E79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81A44D5" wp14:editId="22CF9EC2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docshape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29E3D2" w14:textId="77777777" w:rsidR="008F1ABC" w:rsidRDefault="000C75CE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>
            <v:shapetype id="_x0000_t202" coordsize="21600,21600" o:spt="202" path="m,l,21600r21600,l21600,xe" w14:anchorId="40370D83">
              <v:stroke joinstyle="miter"/>
              <v:path gradientshapeok="t" o:connecttype="rect"/>
            </v:shapetype>
            <v:shape id="docshape49" style="position:absolute;margin-left:547.25pt;margin-top:810.55pt;width:17.3pt;height:11.5pt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">
              <v:path arrowok="t"/>
              <v:textbox inset="0,0,0,0">
                <w:txbxContent>
                  <w:p w:rsidR="008F1ABC" w:rsidRDefault="000C75CE" w14:paraId="077D8C10" w14:textId="77777777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65ADF" w14:textId="77777777" w:rsidR="007416C9" w:rsidRPr="0033349A" w:rsidRDefault="007416C9" w:rsidP="007416C9">
    <w:pPr>
      <w:pStyle w:val="Footer"/>
      <w:jc w:val="right"/>
      <w:rPr>
        <w:sz w:val="13"/>
        <w:szCs w:val="13"/>
      </w:rPr>
    </w:pPr>
    <w:r>
      <w:rPr>
        <w:sz w:val="13"/>
      </w:rPr>
      <w:t>Secretaria do Programa</w:t>
    </w:r>
  </w:p>
  <w:p w14:paraId="18D8CED7" w14:textId="77777777" w:rsidR="007416C9" w:rsidRDefault="007416C9" w:rsidP="007416C9">
    <w:pPr>
      <w:pStyle w:val="Footer"/>
      <w:jc w:val="right"/>
    </w:pPr>
    <w:r>
      <w:rPr>
        <w:noProof/>
      </w:rPr>
      <w:drawing>
        <wp:inline distT="0" distB="0" distL="0" distR="0" wp14:anchorId="40A53DFA" wp14:editId="1E476C1A">
          <wp:extent cx="731075" cy="255040"/>
          <wp:effectExtent l="0" t="0" r="0" b="0"/>
          <wp:docPr id="3" name="Picture 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083DFED" w14:textId="74EDA299" w:rsidR="0065330C" w:rsidRPr="0065330C" w:rsidRDefault="0065330C" w:rsidP="007416C9">
    <w:pPr>
      <w:pStyle w:val="Footer"/>
      <w:jc w:val="right"/>
      <w:rPr>
        <w:sz w:val="10"/>
        <w:szCs w:val="10"/>
      </w:rPr>
    </w:pPr>
    <w:r>
      <w:rPr>
        <w:sz w:val="10"/>
      </w:rPr>
      <w:t>V</w:t>
    </w:r>
    <w:r w:rsidR="00BF0CDC">
      <w:rPr>
        <w:sz w:val="10"/>
      </w:rPr>
      <w:t>1</w:t>
    </w:r>
    <w:r>
      <w:rPr>
        <w:sz w:val="10"/>
      </w:rPr>
      <w:t xml:space="preserve"> 0</w:t>
    </w:r>
    <w:r w:rsidR="00BF0CDC">
      <w:rPr>
        <w:sz w:val="10"/>
      </w:rPr>
      <w:t>3</w:t>
    </w:r>
    <w:r>
      <w:rPr>
        <w:sz w:val="10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358EB" w14:textId="77777777" w:rsidR="00E86B47" w:rsidRPr="00086F3A" w:rsidRDefault="00E86B47" w:rsidP="0055419F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color w:val="98BAD1" w:themeColor="background2" w:themeShade="BF"/>
        </w:rPr>
        <w:sym w:font="Symbol" w:char="F0BE"/>
      </w:r>
      <w:r w:rsidRPr="00086F3A">
        <w:rPr>
          <w:color w:val="98BAD1" w:themeColor="background2" w:themeShade="BF"/>
        </w:rPr>
        <w:sym w:font="Symbol" w:char="F0BE"/>
      </w:r>
      <w:r w:rsidRPr="00086F3A">
        <w:rPr>
          <w:color w:val="98BAD1" w:themeColor="background2" w:themeShade="BF"/>
        </w:rPr>
        <w:sym w:font="Symbol" w:char="F0BE"/>
      </w:r>
      <w:r w:rsidRPr="00086F3A">
        <w:rPr>
          <w:color w:val="98BAD1" w:themeColor="background2" w:themeShade="BF"/>
        </w:rPr>
        <w:sym w:font="Symbol" w:char="F0BE"/>
      </w:r>
    </w:p>
  </w:footnote>
  <w:footnote w:type="continuationSeparator" w:id="0">
    <w:p w14:paraId="67F595F9" w14:textId="77777777" w:rsidR="00E86B47" w:rsidRDefault="00E86B47">
      <w:r>
        <w:continuationSeparator/>
      </w:r>
    </w:p>
  </w:footnote>
  <w:footnote w:type="continuationNotice" w:id="1">
    <w:p w14:paraId="0CEF7FC7" w14:textId="77777777" w:rsidR="00E86B47" w:rsidRDefault="00E86B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A7EE2" w14:textId="77777777" w:rsidR="005E70AC" w:rsidRPr="00276714" w:rsidRDefault="00B025A3" w:rsidP="009948C7">
    <w:pPr>
      <w:spacing w:before="20"/>
      <w:rPr>
        <w:b/>
        <w:sz w:val="18"/>
      </w:rPr>
    </w:pPr>
    <w:r>
      <w:rPr>
        <w:rFonts w:ascii="Arial" w:hAnsi="Arial"/>
        <w:b/>
        <w:color w:val="3BB041" w:themeColor="accent1"/>
        <w:sz w:val="15"/>
      </w:rPr>
      <w:t>Alavancando o 7-1-7 nas revisões pós-ação</w: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9864DC9" wp14:editId="5062C487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3E3FE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CA9C8" w14:textId="77777777" w:rsidR="0021781B" w:rsidRPr="00022177" w:rsidRDefault="002C4E83" w:rsidP="0021781B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120A4A3A" wp14:editId="2FCE4D11">
          <wp:extent cx="1778977" cy="287373"/>
          <wp:effectExtent l="0" t="0" r="0" b="508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r:id="rId2" w:history="1">
      <w:r>
        <w:rPr>
          <w:rStyle w:val="Heading7Char"/>
        </w:rPr>
        <w:t>717alliance.org</w:t>
      </w:r>
    </w:hyperlink>
  </w:p>
  <w:p w14:paraId="4D7A62A7" w14:textId="77777777" w:rsidR="000511FA" w:rsidRDefault="000511FA" w:rsidP="0021781B">
    <w:pPr>
      <w:pStyle w:val="Header"/>
      <w:tabs>
        <w:tab w:val="clear" w:pos="9810"/>
        <w:tab w:val="right" w:pos="9860"/>
      </w:tabs>
      <w:rPr>
        <w:b/>
        <w:bCs/>
      </w:rPr>
    </w:pPr>
  </w:p>
  <w:p w14:paraId="6B278A64" w14:textId="77777777" w:rsidR="000511FA" w:rsidRDefault="000511FA" w:rsidP="0021781B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86F4F48" wp14:editId="0141494A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00DC9C8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14:paraId="66F5037B" w14:textId="77777777" w:rsidR="0021781B" w:rsidRDefault="0021781B" w:rsidP="0021781B">
    <w:pPr>
      <w:pStyle w:val="Header"/>
      <w:tabs>
        <w:tab w:val="clear" w:pos="4680"/>
        <w:tab w:val="clear" w:pos="9810"/>
        <w:tab w:val="left" w:pos="80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A190DA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002967941" o:spid="_x0000_i1025" type="#_x0000_t75" style="width:19.1pt;height:2.75pt;visibility:visible;mso-wrap-style:square">
            <v:imagedata r:id="rId1" o:title=""/>
          </v:shape>
        </w:pict>
      </mc:Choice>
      <mc:Fallback>
        <w:drawing>
          <wp:inline distT="0" distB="0" distL="0" distR="0" wp14:anchorId="2B8E1ED7" wp14:editId="2B8E1ED8">
            <wp:extent cx="242570" cy="34925"/>
            <wp:effectExtent l="0" t="0" r="0" b="0"/>
            <wp:docPr id="1230588893" name="Picture 1002967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" cy="3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ascii="Arial" w:hAnsi="Arial" w:hint="default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C0779E3"/>
    <w:multiLevelType w:val="hybridMultilevel"/>
    <w:tmpl w:val="0E0AD620"/>
    <w:lvl w:ilvl="0" w:tplc="0062F5C6">
      <w:start w:val="1"/>
      <w:numFmt w:val="decimal"/>
      <w:lvlText w:val="%1."/>
      <w:lvlJc w:val="left"/>
      <w:pPr>
        <w:ind w:left="630" w:hanging="360"/>
      </w:pPr>
      <w:rPr>
        <w:rFonts w:hint="default"/>
        <w:b/>
        <w:bCs/>
        <w:i w:val="0"/>
        <w:iCs w:val="0"/>
        <w:color w:val="3D9D45"/>
        <w:w w:val="111"/>
        <w:sz w:val="20"/>
        <w:szCs w:val="20"/>
        <w:lang w:val="en-US" w:eastAsia="en-US" w:bidi="ar-SA"/>
      </w:rPr>
    </w:lvl>
    <w:lvl w:ilvl="1" w:tplc="FFFFFFFF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6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7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9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2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3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4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5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7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9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0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1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2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3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5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6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ascii="Arial" w:hAnsi="Arial" w:hint="default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8" w15:restartNumberingAfterBreak="0">
    <w:nsid w:val="64572589"/>
    <w:multiLevelType w:val="hybridMultilevel"/>
    <w:tmpl w:val="5F7C7A90"/>
    <w:lvl w:ilvl="0" w:tplc="91503D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31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07B6E64"/>
    <w:multiLevelType w:val="hybridMultilevel"/>
    <w:tmpl w:val="6A000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5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6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ascii="Arial" w:hAnsi="Arial" w:hint="default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9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num w:numId="1" w16cid:durableId="1453673250">
    <w:abstractNumId w:val="12"/>
  </w:num>
  <w:num w:numId="2" w16cid:durableId="980501441">
    <w:abstractNumId w:val="21"/>
  </w:num>
  <w:num w:numId="3" w16cid:durableId="1918587412">
    <w:abstractNumId w:val="18"/>
  </w:num>
  <w:num w:numId="4" w16cid:durableId="726535322">
    <w:abstractNumId w:val="1"/>
  </w:num>
  <w:num w:numId="5" w16cid:durableId="198326693">
    <w:abstractNumId w:val="22"/>
  </w:num>
  <w:num w:numId="6" w16cid:durableId="836774964">
    <w:abstractNumId w:val="27"/>
  </w:num>
  <w:num w:numId="7" w16cid:durableId="1849638365">
    <w:abstractNumId w:val="39"/>
  </w:num>
  <w:num w:numId="8" w16cid:durableId="38364128">
    <w:abstractNumId w:val="24"/>
  </w:num>
  <w:num w:numId="9" w16cid:durableId="350298055">
    <w:abstractNumId w:val="3"/>
  </w:num>
  <w:num w:numId="10" w16cid:durableId="780339416">
    <w:abstractNumId w:val="11"/>
  </w:num>
  <w:num w:numId="11" w16cid:durableId="1767769205">
    <w:abstractNumId w:val="19"/>
  </w:num>
  <w:num w:numId="12" w16cid:durableId="974869584">
    <w:abstractNumId w:val="35"/>
  </w:num>
  <w:num w:numId="13" w16cid:durableId="195310959">
    <w:abstractNumId w:val="30"/>
  </w:num>
  <w:num w:numId="14" w16cid:durableId="569385742">
    <w:abstractNumId w:val="4"/>
  </w:num>
  <w:num w:numId="15" w16cid:durableId="2044818288">
    <w:abstractNumId w:val="0"/>
  </w:num>
  <w:num w:numId="16" w16cid:durableId="841621499">
    <w:abstractNumId w:val="20"/>
  </w:num>
  <w:num w:numId="17" w16cid:durableId="202720826">
    <w:abstractNumId w:val="38"/>
  </w:num>
  <w:num w:numId="18" w16cid:durableId="605431108">
    <w:abstractNumId w:val="8"/>
  </w:num>
  <w:num w:numId="19" w16cid:durableId="1928617086">
    <w:abstractNumId w:val="13"/>
  </w:num>
  <w:num w:numId="20" w16cid:durableId="1319730599">
    <w:abstractNumId w:val="34"/>
  </w:num>
  <w:num w:numId="21" w16cid:durableId="2094816373">
    <w:abstractNumId w:val="25"/>
  </w:num>
  <w:num w:numId="22" w16cid:durableId="2090154401">
    <w:abstractNumId w:val="14"/>
  </w:num>
  <w:num w:numId="23" w16cid:durableId="1027754642">
    <w:abstractNumId w:val="16"/>
  </w:num>
  <w:num w:numId="24" w16cid:durableId="181482799">
    <w:abstractNumId w:val="9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26"/>
  </w:num>
  <w:num w:numId="31" w16cid:durableId="1880125358">
    <w:abstractNumId w:val="10"/>
  </w:num>
  <w:num w:numId="32" w16cid:durableId="1696468453">
    <w:abstractNumId w:val="6"/>
  </w:num>
  <w:num w:numId="33" w16cid:durableId="95685334">
    <w:abstractNumId w:val="37"/>
  </w:num>
  <w:num w:numId="34" w16cid:durableId="1068960500">
    <w:abstractNumId w:val="32"/>
  </w:num>
  <w:num w:numId="35" w16cid:durableId="1298486937">
    <w:abstractNumId w:val="31"/>
  </w:num>
  <w:num w:numId="36" w16cid:durableId="299116789">
    <w:abstractNumId w:val="36"/>
  </w:num>
  <w:num w:numId="37" w16cid:durableId="1027371121">
    <w:abstractNumId w:val="29"/>
  </w:num>
  <w:num w:numId="38" w16cid:durableId="2059081940">
    <w:abstractNumId w:val="15"/>
  </w:num>
  <w:num w:numId="39" w16cid:durableId="1722245889">
    <w:abstractNumId w:val="33"/>
  </w:num>
  <w:num w:numId="40" w16cid:durableId="1839268059">
    <w:abstractNumId w:val="23"/>
  </w:num>
  <w:num w:numId="41" w16cid:durableId="1046682853">
    <w:abstractNumId w:val="28"/>
  </w:num>
  <w:num w:numId="42" w16cid:durableId="571933404">
    <w:abstractNumId w:val="17"/>
  </w:num>
  <w:num w:numId="43" w16cid:durableId="1210416584">
    <w:abstractNumId w:val="5"/>
  </w:num>
  <w:num w:numId="44" w16cid:durableId="2551413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61"/>
    <w:rsid w:val="00021AA8"/>
    <w:rsid w:val="00022177"/>
    <w:rsid w:val="00022587"/>
    <w:rsid w:val="00027F41"/>
    <w:rsid w:val="000346DF"/>
    <w:rsid w:val="00035510"/>
    <w:rsid w:val="000511FA"/>
    <w:rsid w:val="000619CA"/>
    <w:rsid w:val="000653A0"/>
    <w:rsid w:val="0006727E"/>
    <w:rsid w:val="000675D3"/>
    <w:rsid w:val="00072B27"/>
    <w:rsid w:val="00075A53"/>
    <w:rsid w:val="00080AA2"/>
    <w:rsid w:val="00084D23"/>
    <w:rsid w:val="00086F3A"/>
    <w:rsid w:val="00094308"/>
    <w:rsid w:val="0009471C"/>
    <w:rsid w:val="00097C3C"/>
    <w:rsid w:val="000A1E53"/>
    <w:rsid w:val="000A4DEC"/>
    <w:rsid w:val="000A6887"/>
    <w:rsid w:val="000C75CE"/>
    <w:rsid w:val="000D3EC6"/>
    <w:rsid w:val="000D6B55"/>
    <w:rsid w:val="000E2B53"/>
    <w:rsid w:val="000E4269"/>
    <w:rsid w:val="000F1841"/>
    <w:rsid w:val="001034B0"/>
    <w:rsid w:val="00111AF8"/>
    <w:rsid w:val="001243EC"/>
    <w:rsid w:val="00142B90"/>
    <w:rsid w:val="00143D08"/>
    <w:rsid w:val="00173A6A"/>
    <w:rsid w:val="0019102D"/>
    <w:rsid w:val="001A75A3"/>
    <w:rsid w:val="001B0BC7"/>
    <w:rsid w:val="001B0F34"/>
    <w:rsid w:val="001C3B66"/>
    <w:rsid w:val="001D6CCE"/>
    <w:rsid w:val="001E0A48"/>
    <w:rsid w:val="0021781B"/>
    <w:rsid w:val="002207CF"/>
    <w:rsid w:val="00220F1B"/>
    <w:rsid w:val="00243AA6"/>
    <w:rsid w:val="0024735B"/>
    <w:rsid w:val="00247E81"/>
    <w:rsid w:val="00276714"/>
    <w:rsid w:val="00284B82"/>
    <w:rsid w:val="00293342"/>
    <w:rsid w:val="002A1C28"/>
    <w:rsid w:val="002A4E26"/>
    <w:rsid w:val="002B2F04"/>
    <w:rsid w:val="002C16A0"/>
    <w:rsid w:val="002C4E83"/>
    <w:rsid w:val="002D2AF2"/>
    <w:rsid w:val="002D6EEF"/>
    <w:rsid w:val="002E3150"/>
    <w:rsid w:val="002F5ABD"/>
    <w:rsid w:val="00333046"/>
    <w:rsid w:val="0033349A"/>
    <w:rsid w:val="003401BA"/>
    <w:rsid w:val="003518DB"/>
    <w:rsid w:val="003539DF"/>
    <w:rsid w:val="003771F9"/>
    <w:rsid w:val="003A19A7"/>
    <w:rsid w:val="003D15AF"/>
    <w:rsid w:val="003D7469"/>
    <w:rsid w:val="003E4D65"/>
    <w:rsid w:val="003E585C"/>
    <w:rsid w:val="004111D8"/>
    <w:rsid w:val="00414600"/>
    <w:rsid w:val="00415E72"/>
    <w:rsid w:val="00421AAE"/>
    <w:rsid w:val="00422C09"/>
    <w:rsid w:val="00426380"/>
    <w:rsid w:val="004436E4"/>
    <w:rsid w:val="0045592D"/>
    <w:rsid w:val="004637A2"/>
    <w:rsid w:val="0046785E"/>
    <w:rsid w:val="004765D5"/>
    <w:rsid w:val="00484BEE"/>
    <w:rsid w:val="004A3E79"/>
    <w:rsid w:val="004B313E"/>
    <w:rsid w:val="004B456D"/>
    <w:rsid w:val="004C74A0"/>
    <w:rsid w:val="004D2991"/>
    <w:rsid w:val="004D695F"/>
    <w:rsid w:val="004E3EF8"/>
    <w:rsid w:val="004F195C"/>
    <w:rsid w:val="004F5A3C"/>
    <w:rsid w:val="00512F2D"/>
    <w:rsid w:val="005211DF"/>
    <w:rsid w:val="00530C0F"/>
    <w:rsid w:val="00534C34"/>
    <w:rsid w:val="0053791C"/>
    <w:rsid w:val="00542E7A"/>
    <w:rsid w:val="0055419F"/>
    <w:rsid w:val="00570596"/>
    <w:rsid w:val="0058211E"/>
    <w:rsid w:val="00590D2D"/>
    <w:rsid w:val="00594C40"/>
    <w:rsid w:val="005A0866"/>
    <w:rsid w:val="005A7A72"/>
    <w:rsid w:val="005B2F11"/>
    <w:rsid w:val="005B7AE9"/>
    <w:rsid w:val="005C3C52"/>
    <w:rsid w:val="005C6EBE"/>
    <w:rsid w:val="005D137B"/>
    <w:rsid w:val="005E70AC"/>
    <w:rsid w:val="005E7D01"/>
    <w:rsid w:val="006073D9"/>
    <w:rsid w:val="006221AE"/>
    <w:rsid w:val="00624E23"/>
    <w:rsid w:val="0065330C"/>
    <w:rsid w:val="006749F0"/>
    <w:rsid w:val="006A1623"/>
    <w:rsid w:val="006A2BD3"/>
    <w:rsid w:val="006B1978"/>
    <w:rsid w:val="006B6443"/>
    <w:rsid w:val="006C2CB0"/>
    <w:rsid w:val="007032B7"/>
    <w:rsid w:val="00710820"/>
    <w:rsid w:val="0071169E"/>
    <w:rsid w:val="00714B72"/>
    <w:rsid w:val="007415F7"/>
    <w:rsid w:val="007416C9"/>
    <w:rsid w:val="00751E61"/>
    <w:rsid w:val="0076553B"/>
    <w:rsid w:val="0078666F"/>
    <w:rsid w:val="007A78C4"/>
    <w:rsid w:val="007B07B4"/>
    <w:rsid w:val="007B5395"/>
    <w:rsid w:val="007E0212"/>
    <w:rsid w:val="0080128D"/>
    <w:rsid w:val="00816F20"/>
    <w:rsid w:val="00826788"/>
    <w:rsid w:val="0083098F"/>
    <w:rsid w:val="00835C84"/>
    <w:rsid w:val="0083675F"/>
    <w:rsid w:val="00863EA6"/>
    <w:rsid w:val="008C398B"/>
    <w:rsid w:val="008D269C"/>
    <w:rsid w:val="008D3E8C"/>
    <w:rsid w:val="008E0438"/>
    <w:rsid w:val="008F1ABC"/>
    <w:rsid w:val="008F74CB"/>
    <w:rsid w:val="00907B47"/>
    <w:rsid w:val="00970CD2"/>
    <w:rsid w:val="009733F1"/>
    <w:rsid w:val="00981A61"/>
    <w:rsid w:val="00990434"/>
    <w:rsid w:val="0099122D"/>
    <w:rsid w:val="009948C7"/>
    <w:rsid w:val="009A4876"/>
    <w:rsid w:val="009C3EFE"/>
    <w:rsid w:val="009C7476"/>
    <w:rsid w:val="009E2D67"/>
    <w:rsid w:val="009E7DC2"/>
    <w:rsid w:val="009F6219"/>
    <w:rsid w:val="00A05ED2"/>
    <w:rsid w:val="00A33BE1"/>
    <w:rsid w:val="00A45E0C"/>
    <w:rsid w:val="00A550EF"/>
    <w:rsid w:val="00A56D9E"/>
    <w:rsid w:val="00A63122"/>
    <w:rsid w:val="00A64DBE"/>
    <w:rsid w:val="00A65C57"/>
    <w:rsid w:val="00A75377"/>
    <w:rsid w:val="00A94180"/>
    <w:rsid w:val="00AA0AA2"/>
    <w:rsid w:val="00AA5219"/>
    <w:rsid w:val="00AB3151"/>
    <w:rsid w:val="00AB6018"/>
    <w:rsid w:val="00AC2913"/>
    <w:rsid w:val="00AC415A"/>
    <w:rsid w:val="00B025A3"/>
    <w:rsid w:val="00B10F0B"/>
    <w:rsid w:val="00B11B96"/>
    <w:rsid w:val="00BE03F5"/>
    <w:rsid w:val="00BF0CDC"/>
    <w:rsid w:val="00C04070"/>
    <w:rsid w:val="00C533D5"/>
    <w:rsid w:val="00C808AC"/>
    <w:rsid w:val="00C95406"/>
    <w:rsid w:val="00CA0FAB"/>
    <w:rsid w:val="00CA150B"/>
    <w:rsid w:val="00CB7087"/>
    <w:rsid w:val="00D1628F"/>
    <w:rsid w:val="00D406A6"/>
    <w:rsid w:val="00D502FE"/>
    <w:rsid w:val="00D51164"/>
    <w:rsid w:val="00D62543"/>
    <w:rsid w:val="00D846FE"/>
    <w:rsid w:val="00D863EE"/>
    <w:rsid w:val="00D934F4"/>
    <w:rsid w:val="00DC09BD"/>
    <w:rsid w:val="00DD0129"/>
    <w:rsid w:val="00E02DCE"/>
    <w:rsid w:val="00E06416"/>
    <w:rsid w:val="00E1593F"/>
    <w:rsid w:val="00E2624F"/>
    <w:rsid w:val="00E33224"/>
    <w:rsid w:val="00E5168F"/>
    <w:rsid w:val="00E7429D"/>
    <w:rsid w:val="00E81628"/>
    <w:rsid w:val="00E83441"/>
    <w:rsid w:val="00E86B47"/>
    <w:rsid w:val="00EA2A97"/>
    <w:rsid w:val="00ED2842"/>
    <w:rsid w:val="00ED4498"/>
    <w:rsid w:val="00ED5680"/>
    <w:rsid w:val="00EE3B62"/>
    <w:rsid w:val="00EE4D44"/>
    <w:rsid w:val="00EE7567"/>
    <w:rsid w:val="00F03C0A"/>
    <w:rsid w:val="00F27AC5"/>
    <w:rsid w:val="00F52FCC"/>
    <w:rsid w:val="00F55F2B"/>
    <w:rsid w:val="00F66C5F"/>
    <w:rsid w:val="00F6761E"/>
    <w:rsid w:val="00F70303"/>
    <w:rsid w:val="00F729EB"/>
    <w:rsid w:val="00FA767E"/>
    <w:rsid w:val="00FB0E45"/>
    <w:rsid w:val="00FC0CEA"/>
    <w:rsid w:val="00FD3107"/>
    <w:rsid w:val="00FD3E9A"/>
    <w:rsid w:val="00FE0C6F"/>
    <w:rsid w:val="00FF0AE0"/>
    <w:rsid w:val="00FF616B"/>
    <w:rsid w:val="049A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C6D74A"/>
  <w15:docId w15:val="{8C850D53-4E4F-4CEC-B2FA-24C987588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PublicSans-Thin" w:eastAsia="PublicSans-Thin" w:hAnsi="PublicSans-Thin" w:cs="PublicSans-Thin"/>
    </w:rPr>
  </w:style>
  <w:style w:type="paragraph" w:styleId="Heading1">
    <w:name w:val="heading 1"/>
    <w:uiPriority w:val="9"/>
    <w:qFormat/>
    <w:rsid w:val="002F5ABD"/>
    <w:pPr>
      <w:spacing w:before="100" w:after="240"/>
      <w:outlineLvl w:val="0"/>
    </w:pPr>
    <w:rPr>
      <w:rFonts w:ascii="Arial" w:eastAsia="BarlowCondensed-SemiBold" w:hAnsi="Arial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B025A3"/>
    <w:pPr>
      <w:spacing w:before="240" w:after="120" w:line="288" w:lineRule="auto"/>
      <w:outlineLvl w:val="1"/>
    </w:pPr>
    <w:rPr>
      <w:rFonts w:ascii="Arial" w:eastAsia="PublicSans-Thin" w:hAnsi="Arial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eastAsia="PublicSans-Thin" w:hAnsi="Arial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eastAsiaTheme="majorEastAsia" w:hAnsi="Arial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34B0"/>
    <w:rPr>
      <w:rFonts w:ascii="Arial" w:eastAsia="PublicSans-Thin" w:hAnsi="Arial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B2F04"/>
    <w:rPr>
      <w:rFonts w:ascii="Arial" w:eastAsia="PublicSans-Thin" w:hAnsi="Arial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customStyle="1" w:styleId="HeaderChar">
    <w:name w:val="Header Char"/>
    <w:basedOn w:val="DefaultParagraphFont"/>
    <w:link w:val="Header"/>
    <w:uiPriority w:val="99"/>
    <w:rsid w:val="00907B47"/>
    <w:rPr>
      <w:rFonts w:ascii="Arial" w:eastAsia="PublicSans-Thin" w:hAnsi="Arial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eastAsia="PublicSans-Thin" w:hAnsi="Arial" w:cs="Arial"/>
      <w:color w:val="8EAAB6" w:themeColor="text1" w:themeTint="8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086F3A"/>
    <w:rPr>
      <w:rFonts w:ascii="Arial" w:eastAsia="PublicSans-Thin" w:hAnsi="Arial" w:cs="Arial"/>
      <w:color w:val="8EAAB6" w:themeColor="text1" w:themeTint="80"/>
      <w:sz w:val="14"/>
    </w:rPr>
  </w:style>
  <w:style w:type="paragraph" w:customStyle="1" w:styleId="NumberParagraph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33224"/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customStyle="1" w:styleId="BoxChartText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customStyle="1" w:styleId="BoxChartListParagraph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customStyle="1" w:styleId="BoxChartNumberParagraph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customStyle="1" w:styleId="SubBulletBoxChartListParagraph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customStyle="1" w:styleId="SubBulletListParagraph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customStyle="1" w:styleId="Heading7Char">
    <w:name w:val="Heading 7 Char"/>
    <w:basedOn w:val="DefaultParagraphFont"/>
    <w:link w:val="Heading7"/>
    <w:uiPriority w:val="9"/>
    <w:rsid w:val="00F70303"/>
    <w:rPr>
      <w:rFonts w:ascii="Arial" w:eastAsiaTheme="majorEastAsia" w:hAnsi="Arial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DD0129"/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8EAAB6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8EAAB6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RTSLTableHeading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sz="4" w:space="0" w:color="D5D6E2"/>
        <w:left w:val="single" w:sz="4" w:space="0" w:color="D5D6E2"/>
        <w:bottom w:val="single" w:sz="4" w:space="0" w:color="D5D6E2"/>
        <w:right w:val="single" w:sz="4" w:space="0" w:color="D5D6E2"/>
        <w:insideH w:val="single" w:sz="4" w:space="0" w:color="D5D6E2"/>
        <w:insideV w:val="single" w:sz="4" w:space="0" w:color="D5D6E2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customStyle="1" w:styleId="RTSLNumberParagraph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7C3C"/>
    <w:rPr>
      <w:rFonts w:ascii="PublicSans-Thin" w:eastAsia="PublicSans-Thin" w:hAnsi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243AA6"/>
    <w:pPr>
      <w:numPr>
        <w:numId w:val="32"/>
      </w:numPr>
    </w:pPr>
  </w:style>
  <w:style w:type="numbering" w:customStyle="1" w:styleId="CurrentList2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customStyle="1" w:styleId="CurrentList3">
    <w:name w:val="Current List3"/>
    <w:uiPriority w:val="99"/>
    <w:rsid w:val="00DC09BD"/>
    <w:pPr>
      <w:numPr>
        <w:numId w:val="34"/>
      </w:numPr>
    </w:pPr>
  </w:style>
  <w:style w:type="numbering" w:customStyle="1" w:styleId="CurrentList4">
    <w:name w:val="Current List4"/>
    <w:uiPriority w:val="99"/>
    <w:rsid w:val="003539DF"/>
    <w:pPr>
      <w:numPr>
        <w:numId w:val="35"/>
      </w:numPr>
    </w:pPr>
  </w:style>
  <w:style w:type="numbering" w:customStyle="1" w:styleId="CurrentList5">
    <w:name w:val="Current List5"/>
    <w:uiPriority w:val="99"/>
    <w:rsid w:val="003539DF"/>
    <w:pPr>
      <w:numPr>
        <w:numId w:val="37"/>
      </w:numPr>
    </w:pPr>
  </w:style>
  <w:style w:type="table" w:customStyle="1" w:styleId="717Alliance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sz="4" w:space="0" w:color="ABB8C3" w:themeColor="accent4"/>
        <w:left w:val="single" w:sz="4" w:space="0" w:color="ABB8C3" w:themeColor="accent4"/>
        <w:bottom w:val="single" w:sz="4" w:space="0" w:color="ABB8C3" w:themeColor="accent4"/>
        <w:right w:val="single" w:sz="4" w:space="0" w:color="ABB8C3" w:themeColor="accent4"/>
        <w:insideH w:val="single" w:sz="4" w:space="0" w:color="ABB8C3" w:themeColor="accent4"/>
        <w:insideV w:val="single" w:sz="4" w:space="0" w:color="ABB8C3" w:themeColor="accent4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A5219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24E23"/>
    <w:pPr>
      <w:widowControl/>
      <w:autoSpaceDE/>
      <w:autoSpaceDN/>
    </w:pPr>
    <w:rPr>
      <w:rFonts w:ascii="PublicSans-Thin" w:eastAsia="PublicSans-Thin" w:hAnsi="PublicSans-Thin" w:cs="PublicSans-Thin"/>
    </w:rPr>
  </w:style>
  <w:style w:type="character" w:styleId="CommentReference">
    <w:name w:val="annotation reference"/>
    <w:basedOn w:val="DefaultParagraphFont"/>
    <w:uiPriority w:val="99"/>
    <w:semiHidden/>
    <w:unhideWhenUsed/>
    <w:rsid w:val="009A48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48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4876"/>
    <w:rPr>
      <w:rFonts w:ascii="PublicSans-Thin" w:eastAsia="PublicSans-Thin" w:hAnsi="PublicSans-Thin" w:cs="PublicSans-Thi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8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876"/>
    <w:rPr>
      <w:rFonts w:ascii="PublicSans-Thin" w:eastAsia="PublicSans-Thin" w:hAnsi="PublicSans-Thin" w:cs="PublicSans-Thi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11AF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717alliance.org/resources/introducao-de-alto-nivel-ao-7-1-7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who.int/publications/i/item/WHO-WHE-CPI-2019.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who.int/publications/i/item/WHO-WHE-CPI-2019.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717alliance.org/resources/ferramenta-de-avaliacao-7-1-7-pdf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717alliance.org/resources/slide-de-revisao-de-evento-7-1-7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1" ma:contentTypeDescription="Create a new document." ma:contentTypeScope="" ma:versionID="4fd4f79988136f43c28172c91fecd123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e409df79084459e3f9c0349149ccb383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d278d6d4-1e95-49d0-ad8b-8a60c47dc760"/>
    <ds:schemaRef ds:uri="c5613cd5-748e-412e-9a2f-bebdac0f41fd"/>
    <ds:schemaRef ds:uri="ca299543-0ab4-429f-8927-bf8e8716a0c2"/>
    <ds:schemaRef ds:uri="d27c8f07-e503-4122-80c5-e52ee84151d4"/>
  </ds:schemaRefs>
</ds:datastoreItem>
</file>

<file path=customXml/itemProps4.xml><?xml version="1.0" encoding="utf-8"?>
<ds:datastoreItem xmlns:ds="http://schemas.openxmlformats.org/officeDocument/2006/customXml" ds:itemID="{D5D6E13A-5976-4658-BB58-20B38B8979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99543-0ab4-429f-8927-bf8e8716a0c2"/>
    <ds:schemaRef ds:uri="d27c8f07-e503-4122-80c5-e52ee8415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463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Links>
    <vt:vector size="18" baseType="variant">
      <vt:variant>
        <vt:i4>7405691</vt:i4>
      </vt:variant>
      <vt:variant>
        <vt:i4>3</vt:i4>
      </vt:variant>
      <vt:variant>
        <vt:i4>0</vt:i4>
      </vt:variant>
      <vt:variant>
        <vt:i4>5</vt:i4>
      </vt:variant>
      <vt:variant>
        <vt:lpwstr>https://717alliance.org/app/uploads/2023/11/7-1-7-Event-Review-Slide-Template.pptx</vt:lpwstr>
      </vt:variant>
      <vt:variant>
        <vt:lpwstr/>
      </vt:variant>
      <vt:variant>
        <vt:i4>1376275</vt:i4>
      </vt:variant>
      <vt:variant>
        <vt:i4>0</vt:i4>
      </vt:variant>
      <vt:variant>
        <vt:i4>0</vt:i4>
      </vt:variant>
      <vt:variant>
        <vt:i4>5</vt:i4>
      </vt:variant>
      <vt:variant>
        <vt:lpwstr>https://717alliance.org/high-level-stakeholder-presentation/</vt:lpwstr>
      </vt:variant>
      <vt:variant>
        <vt:lpwstr/>
      </vt:variant>
      <vt:variant>
        <vt:i4>6029382</vt:i4>
      </vt:variant>
      <vt:variant>
        <vt:i4>0</vt:i4>
      </vt:variant>
      <vt:variant>
        <vt:i4>0</vt:i4>
      </vt:variant>
      <vt:variant>
        <vt:i4>5</vt:i4>
      </vt:variant>
      <vt:variant>
        <vt:lpwstr>https://717alliance.org/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Deveaux</dc:creator>
  <cp:keywords/>
  <cp:lastModifiedBy>Marie Deveaux</cp:lastModifiedBy>
  <cp:revision>6</cp:revision>
  <dcterms:created xsi:type="dcterms:W3CDTF">2025-03-25T21:27:00Z</dcterms:created>
  <dcterms:modified xsi:type="dcterms:W3CDTF">2025-03-26T17:56:00Z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GrammarlyDocumentId">
    <vt:lpwstr>408f85cb9e359af438237f710bed006744d798f27856a881eaa687a7a95b39fb</vt:lpwstr>
  </property>
  <property fmtid="{D5CDD505-2E9C-101B-9397-08002B2CF9AE}" pid="16" name="_dlc_DocIdItemGuid">
    <vt:lpwstr>3fae6eb9-c3ff-449b-8c44-a9b8f1b7f14f</vt:lpwstr>
  </property>
</Properties>
</file>