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143E38" w:rsidRDefault="00FB1B70" w:rsidP="001163A3">
      <w:pPr>
        <w:pStyle w:val="Heading2"/>
        <w:spacing w:before="0"/>
      </w:pPr>
      <w:r>
        <w:t xml:space="preserve">Ferramenta de Avaliação 7-1-7 </w:t>
      </w:r>
      <w:r>
        <w:br/>
      </w:r>
      <w:r>
        <w:rPr>
          <w:sz w:val="24"/>
        </w:rPr>
        <w:t>Melhoria rápida de desempenho para detecção e resposta a surtos</w:t>
      </w:r>
    </w:p>
    <w:p w14:paraId="0C2F1A3C" w14:textId="77777777" w:rsidR="0028324D" w:rsidRDefault="0028324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597860A" w14:textId="4D3F305C" w:rsidR="007E388B" w:rsidRPr="00143E38" w:rsidRDefault="00616FD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Para um evento de surto de doença, use esta ferramenta para:</w:t>
      </w:r>
    </w:p>
    <w:p w14:paraId="25268AF5" w14:textId="71120290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registrar as principais datas </w:t>
      </w:r>
      <w:r w:rsidR="00166F53">
        <w:rPr>
          <w:rFonts w:ascii="Arial" w:hAnsi="Arial"/>
          <w:sz w:val="20"/>
        </w:rPr>
        <w:t>referentes aos</w:t>
      </w:r>
      <w:r>
        <w:rPr>
          <w:rFonts w:ascii="Arial" w:hAnsi="Arial"/>
          <w:sz w:val="20"/>
        </w:rPr>
        <w:t xml:space="preserve"> marco</w:t>
      </w:r>
      <w:r w:rsidR="00166F53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 xml:space="preserve"> do 7-1-7 para os intervalos de detecção, notificação e resposta rápida;</w:t>
      </w:r>
    </w:p>
    <w:p w14:paraId="05804E35" w14:textId="7777777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calcular o desempenho em relação à meta 7-1-7; </w:t>
      </w:r>
    </w:p>
    <w:p w14:paraId="3EF658E7" w14:textId="09C48114" w:rsidR="004F101D" w:rsidRPr="00143E38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identificar gargalos e facilitadores para cada intervalo; </w:t>
      </w:r>
    </w:p>
    <w:p w14:paraId="1022CD96" w14:textId="46269CE2" w:rsidR="001E6E03" w:rsidRPr="00143E38" w:rsidRDefault="00143E38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</w:pPr>
      <w:r>
        <w:rPr>
          <w:rFonts w:ascii="Arial" w:hAnsi="Arial"/>
          <w:sz w:val="20"/>
        </w:rPr>
        <w:t>propor ações imediatas e de longo prazo para solucionar os gargalos.</w:t>
      </w:r>
    </w:p>
    <w:p w14:paraId="77EB7071" w14:textId="126E0B80" w:rsidR="00696197" w:rsidRDefault="00305E2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Essa ferramenta pode ser usada em qualquer nível nacional, desde unidades administrativas locais até autoridades nacionais de saúde. </w:t>
      </w:r>
    </w:p>
    <w:p w14:paraId="7BDA7CB3" w14:textId="0ADE448B" w:rsidR="00EB2873" w:rsidRPr="008550E9" w:rsidRDefault="004339EE" w:rsidP="008550E9">
      <w:pPr>
        <w:widowControl w:val="0"/>
        <w:autoSpaceDE w:val="0"/>
        <w:autoSpaceDN w:val="0"/>
        <w:spacing w:after="120" w:line="288" w:lineRule="auto"/>
        <w:ind w:right="-183"/>
        <w:outlineLvl w:val="2"/>
        <w:rPr>
          <w:rFonts w:ascii="Arial" w:hAnsi="Arial" w:cs="Arial"/>
          <w:b/>
          <w:bCs/>
          <w:sz w:val="20"/>
          <w:szCs w:val="20"/>
        </w:rPr>
      </w:pPr>
      <w:r w:rsidRPr="008550E9">
        <w:rPr>
          <w:rFonts w:ascii="Arial" w:hAnsi="Arial" w:cs="Arial"/>
          <w:sz w:val="20"/>
          <w:szCs w:val="20"/>
        </w:rPr>
        <w:t xml:space="preserve">Para obter definições detalhadas e exemplos de datas importantes, consulte o </w:t>
      </w:r>
      <w:r w:rsidR="008550E9" w:rsidRPr="008550E9">
        <w:rPr>
          <w:rFonts w:ascii="Arial" w:hAnsi="Arial" w:cs="Arial"/>
          <w:b/>
          <w:bCs/>
          <w:sz w:val="20"/>
          <w:szCs w:val="20"/>
        </w:rPr>
        <w:t>Guia de Referência de Datas dos Marcos do 7-1-7</w:t>
      </w:r>
      <w:r w:rsidRPr="008550E9">
        <w:rPr>
          <w:rFonts w:ascii="Arial" w:hAnsi="Arial" w:cs="Arial"/>
          <w:sz w:val="20"/>
          <w:szCs w:val="20"/>
        </w:rPr>
        <w:t xml:space="preserve">: </w:t>
      </w:r>
      <w:hyperlink r:id="rId11" w:history="1"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https://717alliance.org/resources/gu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ia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-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de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-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refer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e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ncia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-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de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-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datas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-dos-marcos-do-</w:t>
        </w:r>
        <w:r w:rsidR="008550E9" w:rsidRPr="0038200D">
          <w:rPr>
            <w:rStyle w:val="Hyperlink"/>
            <w:rFonts w:ascii="Arial" w:hAnsi="Arial" w:cs="Arial"/>
            <w:sz w:val="20"/>
            <w:szCs w:val="20"/>
          </w:rPr>
          <w:t>7-1-7</w:t>
        </w:r>
      </w:hyperlink>
      <w:r w:rsidR="008550E9">
        <w:rPr>
          <w:rFonts w:ascii="Arial" w:hAnsi="Arial" w:cs="Arial"/>
          <w:sz w:val="20"/>
          <w:szCs w:val="20"/>
        </w:rPr>
        <w:t xml:space="preserve"> </w:t>
      </w:r>
    </w:p>
    <w:p w14:paraId="27D637FE" w14:textId="77777777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14:paraId="3DD1EE07" w14:textId="5462093C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Nome do evento (com tipo de doença): _______________________</w:t>
      </w:r>
      <w:r w:rsidR="0091036B">
        <w:rPr>
          <w:rFonts w:ascii="Arial" w:hAnsi="Arial"/>
          <w:sz w:val="20"/>
        </w:rPr>
        <w:t>___</w:t>
      </w:r>
      <w:r>
        <w:rPr>
          <w:rFonts w:ascii="Arial" w:hAnsi="Arial"/>
          <w:sz w:val="20"/>
        </w:rPr>
        <w:t>_______________</w:t>
      </w:r>
    </w:p>
    <w:p w14:paraId="5B5BEF10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1EDD9BD7" w14:textId="1505BFFA" w:rsidR="002C3C13" w:rsidRPr="008914CD" w:rsidRDefault="00F62FB7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Local(is) do evento:_____________________</w:t>
      </w:r>
      <w:r w:rsidR="0091036B">
        <w:rPr>
          <w:rFonts w:ascii="Arial" w:hAnsi="Arial"/>
          <w:sz w:val="20"/>
        </w:rPr>
        <w:t>_____</w:t>
      </w:r>
      <w:r>
        <w:rPr>
          <w:rFonts w:ascii="Arial" w:hAnsi="Arial"/>
          <w:sz w:val="20"/>
        </w:rPr>
        <w:t>_______________________________</w:t>
      </w:r>
    </w:p>
    <w:p w14:paraId="1B81D4CC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535BAF88" w14:textId="2EFBA7B0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Data de conclusão deste relatório: _____________________________________________</w:t>
      </w:r>
    </w:p>
    <w:p w14:paraId="18C8F187" w14:textId="77777777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7C1A17FE" w14:textId="0B232DCB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Nome da pessoa que preencheu este relatório: ________________</w:t>
      </w:r>
      <w:r w:rsidR="0091036B">
        <w:rPr>
          <w:rFonts w:ascii="Arial" w:hAnsi="Arial"/>
          <w:sz w:val="20"/>
        </w:rPr>
        <w:t>__</w:t>
      </w:r>
      <w:r>
        <w:rPr>
          <w:rFonts w:ascii="Arial" w:hAnsi="Arial"/>
          <w:sz w:val="20"/>
        </w:rPr>
        <w:t>_________________</w:t>
      </w:r>
    </w:p>
    <w:p w14:paraId="7B34026C" w14:textId="77777777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E2C8622" w14:textId="3AC9BC49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br w:type="page"/>
      </w:r>
    </w:p>
    <w:p w14:paraId="35A902D4" w14:textId="24F0D140" w:rsidR="007E0409" w:rsidRPr="00E22376" w:rsidRDefault="00241F12" w:rsidP="00F85DF7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>
        <w:rPr>
          <w:rFonts w:ascii="Arial" w:hAnsi="Arial"/>
          <w:b/>
          <w:color w:val="618393"/>
        </w:rPr>
        <w:lastRenderedPageBreak/>
        <w:t xml:space="preserve">Etapa 1. Registrar datas para marcos do 7-1-7 </w:t>
      </w:r>
    </w:p>
    <w:tbl>
      <w:tblPr>
        <w:tblStyle w:val="TableGrid"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785"/>
        <w:gridCol w:w="1085"/>
        <w:gridCol w:w="3540"/>
      </w:tblGrid>
      <w:tr w:rsidR="00C8536B" w:rsidRPr="002B4AE8" w14:paraId="13A0CBC9" w14:textId="77777777" w:rsidTr="3BD944DB">
        <w:trPr>
          <w:trHeight w:val="728"/>
        </w:trPr>
        <w:tc>
          <w:tcPr>
            <w:tcW w:w="5182" w:type="dxa"/>
            <w:gridSpan w:val="2"/>
            <w:shd w:val="clear" w:color="auto" w:fill="3BB041"/>
            <w:vAlign w:val="center"/>
          </w:tcPr>
          <w:p w14:paraId="3E40E358" w14:textId="2BBD40C8" w:rsidR="0013269D" w:rsidRPr="00B627C8" w:rsidRDefault="00612458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Datas d</w:t>
            </w:r>
            <w:r w:rsidR="00D11737">
              <w:rPr>
                <w:rFonts w:ascii="Arial" w:hAnsi="Arial"/>
                <w:b/>
                <w:color w:val="FFFFFF" w:themeColor="background1"/>
                <w:sz w:val="21"/>
              </w:rPr>
              <w:t>os</w:t>
            </w:r>
            <w:r>
              <w:rPr>
                <w:rFonts w:ascii="Arial" w:hAnsi="Arial"/>
                <w:b/>
                <w:color w:val="FFFFFF" w:themeColor="background1"/>
                <w:sz w:val="21"/>
              </w:rPr>
              <w:t xml:space="preserve"> marcos do 7-1-7</w:t>
            </w:r>
            <w:r w:rsidR="0013712D">
              <w:rPr>
                <w:rStyle w:val="FootnoteReference"/>
                <w:rFonts w:ascii="Arial" w:hAnsi="Arial" w:cs="Arial"/>
                <w:b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5" w:type="dxa"/>
            <w:shd w:val="clear" w:color="auto" w:fill="3BB041"/>
            <w:vAlign w:val="center"/>
          </w:tcPr>
          <w:p w14:paraId="5A5E6B4D" w14:textId="77777777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 xml:space="preserve">Data </w:t>
            </w:r>
            <w:r>
              <w:rPr>
                <w:color w:val="FFFFFF" w:themeColor="background1"/>
              </w:rP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DD/MM/AA</w:t>
            </w:r>
          </w:p>
        </w:tc>
        <w:tc>
          <w:tcPr>
            <w:tcW w:w="3540" w:type="dxa"/>
            <w:shd w:val="clear" w:color="auto" w:fill="3BB041"/>
            <w:vAlign w:val="center"/>
          </w:tcPr>
          <w:p w14:paraId="73475BFC" w14:textId="231151CA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Narrativa</w:t>
            </w:r>
            <w: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Como a data foi determinada?</w:t>
            </w:r>
            <w:r>
              <w:rPr>
                <w:rFonts w:ascii="Arial" w:hAnsi="Arial"/>
                <w:color w:val="FFFFFF" w:themeColor="background1"/>
                <w:sz w:val="16"/>
                <w:vertAlign w:val="superscript"/>
              </w:rPr>
              <w:t>1</w:t>
            </w:r>
          </w:p>
        </w:tc>
      </w:tr>
      <w:tr w:rsidR="00900BF7" w:rsidRPr="002B4AE8" w14:paraId="4050AC2F" w14:textId="77777777" w:rsidTr="3BD944DB">
        <w:trPr>
          <w:trHeight w:val="1030"/>
        </w:trPr>
        <w:tc>
          <w:tcPr>
            <w:tcW w:w="5182" w:type="dxa"/>
            <w:gridSpan w:val="2"/>
            <w:shd w:val="clear" w:color="auto" w:fill="CCDDE8"/>
          </w:tcPr>
          <w:p w14:paraId="685D4DCA" w14:textId="76C5071E" w:rsidR="0013269D" w:rsidRPr="00FD6A7A" w:rsidRDefault="0013269D" w:rsidP="3BD944DB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Data de surgimento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>
              <w:rPr>
                <w:rFonts w:ascii="Arial" w:hAnsi="Arial"/>
                <w:b/>
                <w:color w:val="000000" w:themeColor="text1"/>
                <w:sz w:val="21"/>
              </w:rPr>
              <w:br/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doenças não endêmicas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data em que o caso índice ou o primeiro caso epidemiologicamente relacionado apresentou sintomas pela primeira vez. </w:t>
            </w:r>
          </w:p>
          <w:p w14:paraId="2AFD6022" w14:textId="0E14CCD5" w:rsidR="0013269D" w:rsidRPr="00E22376" w:rsidRDefault="0013269D" w:rsidP="00CC40B3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i/>
                <w:iCs/>
                <w:color w:val="000000" w:themeColor="text1"/>
                <w:sz w:val="18"/>
                <w:u w:val="single"/>
              </w:rPr>
              <w:t>Para doenças endêmicas</w:t>
            </w:r>
            <w:r>
              <w:rPr>
                <w:rFonts w:ascii="Arial" w:hAnsi="Arial"/>
                <w:color w:val="000000" w:themeColor="text1"/>
                <w:sz w:val="18"/>
              </w:rPr>
              <w:t>: data em que ocorreu um aumento predeterminado na incidência de casos em relação às taxas de base</w:t>
            </w:r>
            <w:r>
              <w:rPr>
                <w:rFonts w:ascii="Arial" w:hAnsi="Arial"/>
                <w:color w:val="000000" w:themeColor="text1"/>
                <w:sz w:val="18"/>
              </w:rPr>
              <w:br/>
            </w:r>
            <w:r>
              <w:rPr>
                <w:rFonts w:ascii="Arial" w:hAnsi="Arial"/>
                <w:i/>
                <w:iCs/>
                <w:color w:val="000000" w:themeColor="text1"/>
                <w:sz w:val="18"/>
                <w:u w:val="single"/>
              </w:rPr>
              <w:t>Para outros eventos de saúde pública</w:t>
            </w:r>
            <w:r>
              <w:rPr>
                <w:rFonts w:ascii="Arial" w:hAnsi="Arial"/>
                <w:color w:val="000000" w:themeColor="text1"/>
                <w:sz w:val="18"/>
              </w:rPr>
              <w:t>: data em que a ameaça atendeu pela primeira vez aos critérios de um evento notificável com base nos padrões de notificação do país</w:t>
            </w:r>
          </w:p>
        </w:tc>
        <w:tc>
          <w:tcPr>
            <w:tcW w:w="1085" w:type="dxa"/>
          </w:tcPr>
          <w:p w14:paraId="555DC274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</w:p>
        </w:tc>
        <w:tc>
          <w:tcPr>
            <w:tcW w:w="3540" w:type="dxa"/>
          </w:tcPr>
          <w:p w14:paraId="08F9CEA2" w14:textId="77777777" w:rsidR="0013269D" w:rsidRPr="002B4AE8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660F4F04" w14:textId="77777777" w:rsidTr="00F44F62">
        <w:trPr>
          <w:trHeight w:val="1167"/>
        </w:trPr>
        <w:tc>
          <w:tcPr>
            <w:tcW w:w="5182" w:type="dxa"/>
            <w:gridSpan w:val="2"/>
            <w:shd w:val="clear" w:color="auto" w:fill="CCDDE8"/>
            <w:vAlign w:val="center"/>
          </w:tcPr>
          <w:p w14:paraId="2301D3FA" w14:textId="264F5345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Data de detecção</w:t>
            </w:r>
            <w:r>
              <w:rPr>
                <w:color w:val="000000" w:themeColor="text1"/>
              </w:rPr>
              <w:br/>
            </w:r>
            <w:r w:rsidRPr="00A4283A">
              <w:rPr>
                <w:rFonts w:ascii="Arial" w:hAnsi="Arial"/>
                <w:color w:val="000000" w:themeColor="text1"/>
                <w:sz w:val="18"/>
                <w:szCs w:val="18"/>
              </w:rPr>
              <w:t>Data em que o evento foi registrado pela primeira vez por qualquer fonte ou em qualquer sistema</w:t>
            </w:r>
          </w:p>
        </w:tc>
        <w:tc>
          <w:tcPr>
            <w:tcW w:w="1085" w:type="dxa"/>
            <w:shd w:val="clear" w:color="auto" w:fill="EDF3F7"/>
          </w:tcPr>
          <w:p w14:paraId="182DF437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55931A5A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23A45299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2848FB59" w14:textId="77777777" w:rsidTr="3BD944DB">
        <w:trPr>
          <w:trHeight w:val="746"/>
        </w:trPr>
        <w:tc>
          <w:tcPr>
            <w:tcW w:w="5182" w:type="dxa"/>
            <w:gridSpan w:val="2"/>
            <w:shd w:val="clear" w:color="auto" w:fill="CCDDE8"/>
            <w:vAlign w:val="center"/>
          </w:tcPr>
          <w:p w14:paraId="2D23B093" w14:textId="77777777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Data de notificação</w:t>
            </w:r>
            <w:r>
              <w:rPr>
                <w:color w:val="000000" w:themeColor="text1"/>
              </w:rPr>
              <w:br/>
            </w:r>
            <w:r w:rsidRPr="00A4283A">
              <w:rPr>
                <w:rFonts w:ascii="Arial" w:hAnsi="Arial"/>
                <w:color w:val="000000" w:themeColor="text1"/>
                <w:sz w:val="18"/>
                <w:szCs w:val="18"/>
              </w:rPr>
              <w:t>Data em que o evento foi relatado pela primeira vez a uma autoridade de saúde pública responsável pela ação</w:t>
            </w:r>
          </w:p>
        </w:tc>
        <w:tc>
          <w:tcPr>
            <w:tcW w:w="1085" w:type="dxa"/>
          </w:tcPr>
          <w:p w14:paraId="4D39CBB2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5CA5956F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7EC693D2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1BF9D303" w14:textId="77777777" w:rsidTr="3BD944DB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1D218E4B" w:rsidR="00900BF7" w:rsidRDefault="00900BF7" w:rsidP="00DA3598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 xml:space="preserve">Ações de resposta </w:t>
            </w:r>
            <w:r w:rsidR="00D11737">
              <w:rPr>
                <w:rFonts w:ascii="Arial" w:hAnsi="Arial"/>
                <w:b/>
                <w:color w:val="000000" w:themeColor="text1"/>
                <w:sz w:val="20"/>
              </w:rPr>
              <w:t xml:space="preserve">oportuna </w:t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do 7-1-7</w:t>
            </w:r>
          </w:p>
          <w:p w14:paraId="6DD192CE" w14:textId="06290AA3" w:rsidR="00533723" w:rsidRPr="00E22376" w:rsidRDefault="00452E5C" w:rsidP="00CC40B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Data em que cada ação aplicável ocorreu (observe que algumas são as datas de início)</w:t>
            </w:r>
          </w:p>
        </w:tc>
      </w:tr>
      <w:tr w:rsidR="001F4F33" w:rsidRPr="002B4AE8" w14:paraId="369F01FF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5A20DC66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39B42BB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investigação ou implantar uma equipe de investigação/resposta</w:t>
            </w:r>
          </w:p>
        </w:tc>
        <w:tc>
          <w:tcPr>
            <w:tcW w:w="1085" w:type="dxa"/>
            <w:shd w:val="clear" w:color="auto" w:fill="auto"/>
          </w:tcPr>
          <w:p w14:paraId="4FFEE712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1DAFE2EE" w14:textId="77777777" w:rsidR="00F62FB7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48F898AD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A6E957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Realizar análise epidemiológica e avaliação inicial de risco </w:t>
            </w:r>
          </w:p>
        </w:tc>
        <w:tc>
          <w:tcPr>
            <w:tcW w:w="1085" w:type="dxa"/>
            <w:shd w:val="clear" w:color="auto" w:fill="EDF3F7"/>
          </w:tcPr>
          <w:p w14:paraId="6F69C42F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8FB6BF0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5CEDDA6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auto"/>
            <w:vAlign w:val="center"/>
          </w:tcPr>
          <w:p w14:paraId="56D2539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Obter confirmação laboratorial da etiologia do surto </w:t>
            </w:r>
          </w:p>
        </w:tc>
        <w:tc>
          <w:tcPr>
            <w:tcW w:w="1085" w:type="dxa"/>
            <w:shd w:val="clear" w:color="auto" w:fill="auto"/>
          </w:tcPr>
          <w:p w14:paraId="5DDD4A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auto"/>
          </w:tcPr>
          <w:p w14:paraId="07FD855E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D8D713A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0627FFB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2B64E25B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medidas apropriadas de gestão de casos e prevenção e controle de infecções (IPC) nas unidades de saúde </w:t>
            </w:r>
          </w:p>
        </w:tc>
        <w:tc>
          <w:tcPr>
            <w:tcW w:w="1085" w:type="dxa"/>
            <w:shd w:val="clear" w:color="auto" w:fill="EDF3F7"/>
          </w:tcPr>
          <w:p w14:paraId="584C763B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6B1E8954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A7D946E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0EC889AA" w14:textId="7D57C360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contramedidas apropriadas de saúde pública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>
              <w:rPr>
                <w:rFonts w:ascii="Arial" w:hAnsi="Arial"/>
                <w:sz w:val="18"/>
              </w:rPr>
              <w:t xml:space="preserve"> nas comunidades afetadas </w:t>
            </w:r>
          </w:p>
        </w:tc>
        <w:tc>
          <w:tcPr>
            <w:tcW w:w="1085" w:type="dxa"/>
          </w:tcPr>
          <w:p w14:paraId="3E55E7F8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00B0EB31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37EC220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66B6EAFE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shd w:val="clear" w:color="auto" w:fill="EDF3F7"/>
            <w:vAlign w:val="center"/>
          </w:tcPr>
          <w:p w14:paraId="1261FFA2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atividades de comunicação de risco e engajamento da comunidade </w:t>
            </w:r>
          </w:p>
        </w:tc>
        <w:tc>
          <w:tcPr>
            <w:tcW w:w="1085" w:type="dxa"/>
            <w:shd w:val="clear" w:color="auto" w:fill="EDF3F7"/>
          </w:tcPr>
          <w:p w14:paraId="5498B48E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0153891A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0DD0B40C" w14:textId="77777777" w:rsidTr="3BD944DB">
        <w:trPr>
          <w:trHeight w:val="662"/>
        </w:trPr>
        <w:tc>
          <w:tcPr>
            <w:tcW w:w="397" w:type="dxa"/>
            <w:shd w:val="clear" w:color="auto" w:fill="CCDDE8"/>
          </w:tcPr>
          <w:p w14:paraId="52B70D19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vAlign w:val="center"/>
          </w:tcPr>
          <w:p w14:paraId="537E643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Estabelecer um mecanismo de coordenação</w:t>
            </w:r>
          </w:p>
        </w:tc>
        <w:tc>
          <w:tcPr>
            <w:tcW w:w="1085" w:type="dxa"/>
          </w:tcPr>
          <w:p w14:paraId="32D6FC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</w:tcPr>
          <w:p w14:paraId="7CAF087D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0080E32C" w14:textId="77777777" w:rsidTr="3BD944DB">
        <w:trPr>
          <w:trHeight w:val="854"/>
        </w:trPr>
        <w:tc>
          <w:tcPr>
            <w:tcW w:w="5182" w:type="dxa"/>
            <w:gridSpan w:val="2"/>
            <w:shd w:val="clear" w:color="auto" w:fill="CCDDE8"/>
          </w:tcPr>
          <w:p w14:paraId="0956E1AA" w14:textId="2B5C9D5A" w:rsidR="0013269D" w:rsidRPr="00E22376" w:rsidRDefault="0013269D" w:rsidP="00CC40B3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</w:rPr>
              <w:t xml:space="preserve">Data de conclusão da ação de resposta </w:t>
            </w:r>
            <w:r w:rsidR="00D11737">
              <w:rPr>
                <w:rFonts w:ascii="Arial" w:hAnsi="Arial"/>
                <w:b/>
                <w:sz w:val="20"/>
              </w:rPr>
              <w:t>oportuna</w:t>
            </w:r>
            <w:r>
              <w:br/>
            </w:r>
            <w:r>
              <w:rPr>
                <w:rFonts w:ascii="Arial" w:hAnsi="Arial"/>
                <w:sz w:val="18"/>
              </w:rPr>
              <w:t>Data em que ocorreu a última das ações de resposta antecipada aplicáveis listadas acima</w:t>
            </w:r>
          </w:p>
        </w:tc>
        <w:tc>
          <w:tcPr>
            <w:tcW w:w="1085" w:type="dxa"/>
            <w:shd w:val="clear" w:color="auto" w:fill="EDF3F7"/>
          </w:tcPr>
          <w:p w14:paraId="651BEDFA" w14:textId="77777777" w:rsidR="0013269D" w:rsidRPr="002A0B36" w:rsidRDefault="0013269D" w:rsidP="00AD7DE3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3540" w:type="dxa"/>
            <w:shd w:val="clear" w:color="auto" w:fill="EDF3F7"/>
          </w:tcPr>
          <w:p w14:paraId="4650C826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5939428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B858B00" w14:textId="77777777" w:rsidR="0054286F" w:rsidRPr="002A0B36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697228AD" w14:textId="27CA908F" w:rsidR="00371085" w:rsidRDefault="00371085" w:rsidP="3BD944DB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lastRenderedPageBreak/>
        <w:t>Etapa 2. Calcular pontualidade em intervalos 7-1-7</w:t>
      </w:r>
    </w:p>
    <w:p w14:paraId="40488D48" w14:textId="74ABE07F" w:rsidR="00204DA7" w:rsidRPr="00FF1604" w:rsidRDefault="00204DA7" w:rsidP="00F44F62">
      <w:pPr>
        <w:autoSpaceDE w:val="0"/>
        <w:autoSpaceDN w:val="0"/>
        <w:snapToGrid w:val="0"/>
        <w:spacing w:before="240" w:after="120" w:line="288" w:lineRule="auto"/>
        <w:ind w:right="-183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Os cálculos são baseados na diferença entre datas (por exemplo, 3 de agosto – 1 de agosto = 2 dias).  Informe a “pontualidade” como “&lt;1” se o cálculo for 0 (por exemplo, a detecção e a notificação ocorrem no mesmo dia).</w:t>
      </w:r>
    </w:p>
    <w:tbl>
      <w:tblPr>
        <w:tblStyle w:val="TableGrid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6C6CA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618393"/>
                <w:sz w:val="21"/>
                <w:szCs w:val="21"/>
              </w:rPr>
            </w:pPr>
            <w:r>
              <w:rPr>
                <w:rFonts w:ascii="Arial" w:hAnsi="Arial"/>
                <w:b/>
                <w:color w:val="618393"/>
                <w:sz w:val="21"/>
              </w:rPr>
              <w:t>Intervalo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6C6CA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618393"/>
                <w:sz w:val="21"/>
                <w:szCs w:val="21"/>
              </w:rPr>
            </w:pPr>
            <w:r>
              <w:rPr>
                <w:rFonts w:ascii="Arial" w:hAnsi="Arial"/>
                <w:b/>
                <w:color w:val="618393"/>
                <w:sz w:val="21"/>
              </w:rPr>
              <w:t>Cálculo</w:t>
            </w:r>
            <w:r>
              <w:rPr>
                <w:color w:val="618393"/>
              </w:rPr>
              <w:br/>
            </w:r>
            <w:r>
              <w:rPr>
                <w:rFonts w:ascii="Arial" w:hAnsi="Arial"/>
                <w:color w:val="618393"/>
                <w:sz w:val="16"/>
              </w:rPr>
              <w:t>Em dias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6C6CA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618393"/>
                <w:sz w:val="21"/>
                <w:szCs w:val="21"/>
              </w:rPr>
            </w:pPr>
            <w:r>
              <w:rPr>
                <w:rFonts w:ascii="Arial" w:hAnsi="Arial"/>
                <w:b/>
                <w:color w:val="618393"/>
                <w:sz w:val="21"/>
              </w:rPr>
              <w:t>Pontualidade</w:t>
            </w:r>
            <w:r>
              <w:rPr>
                <w:color w:val="618393"/>
              </w:rPr>
              <w:br/>
            </w:r>
            <w:r>
              <w:rPr>
                <w:rFonts w:ascii="Arial" w:hAnsi="Arial"/>
                <w:color w:val="618393"/>
                <w:sz w:val="16"/>
              </w:rPr>
              <w:t>Em dias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6C6CA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618393"/>
                <w:sz w:val="21"/>
                <w:szCs w:val="21"/>
              </w:rPr>
            </w:pPr>
            <w:r>
              <w:rPr>
                <w:rFonts w:ascii="Arial" w:hAnsi="Arial"/>
                <w:b/>
                <w:color w:val="618393"/>
                <w:sz w:val="21"/>
              </w:rPr>
              <w:t>Meta</w:t>
            </w:r>
            <w:r>
              <w:rPr>
                <w:color w:val="618393"/>
              </w:rPr>
              <w:br/>
            </w:r>
            <w:r>
              <w:rPr>
                <w:rFonts w:ascii="Arial" w:hAnsi="Arial"/>
                <w:color w:val="618393"/>
                <w:sz w:val="16"/>
              </w:rPr>
              <w:t>Em dias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6C6CA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618393"/>
                <w:sz w:val="21"/>
                <w:szCs w:val="21"/>
              </w:rPr>
            </w:pPr>
            <w:r>
              <w:rPr>
                <w:rFonts w:ascii="Arial" w:hAnsi="Arial"/>
                <w:b/>
                <w:color w:val="618393"/>
                <w:sz w:val="21"/>
              </w:rPr>
              <w:t>Meta atingida?</w:t>
            </w:r>
            <w:r>
              <w:rPr>
                <w:color w:val="618393"/>
              </w:rPr>
              <w:br/>
            </w:r>
            <w:r>
              <w:rPr>
                <w:rFonts w:ascii="Arial" w:hAnsi="Arial"/>
                <w:color w:val="618393"/>
                <w:sz w:val="16"/>
              </w:rPr>
              <w:t>Sim/Não</w:t>
            </w:r>
          </w:p>
        </w:tc>
      </w:tr>
      <w:tr w:rsidR="00371085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Detecção</w:t>
            </w:r>
          </w:p>
        </w:tc>
        <w:tc>
          <w:tcPr>
            <w:tcW w:w="2664" w:type="dxa"/>
            <w:vAlign w:val="center"/>
          </w:tcPr>
          <w:p w14:paraId="5E5FE80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Diferença </w:t>
            </w: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entre datas de </w:t>
            </w: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color w:val="000000" w:themeColor="text1"/>
                <w:sz w:val="20"/>
              </w:rPr>
              <w:t>surgimento</w:t>
            </w: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color w:val="000000" w:themeColor="text1"/>
                <w:sz w:val="20"/>
              </w:rPr>
              <w:t>e detecção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4B876B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Notificação</w:t>
            </w:r>
          </w:p>
        </w:tc>
        <w:tc>
          <w:tcPr>
            <w:tcW w:w="2664" w:type="dxa"/>
            <w:vAlign w:val="center"/>
          </w:tcPr>
          <w:p w14:paraId="1234678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Diferença entre datas de detecção </w:t>
            </w: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color w:val="000000" w:themeColor="text1"/>
                <w:sz w:val="20"/>
              </w:rPr>
              <w:t>e notificação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735" w:type="dxa"/>
            <w:vAlign w:val="center"/>
          </w:tcPr>
          <w:p w14:paraId="477F069F" w14:textId="657668D8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Resposta</w:t>
            </w:r>
          </w:p>
        </w:tc>
        <w:tc>
          <w:tcPr>
            <w:tcW w:w="2664" w:type="dxa"/>
            <w:vAlign w:val="center"/>
          </w:tcPr>
          <w:p w14:paraId="071C87E3" w14:textId="1B0D51D3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Diferença </w:t>
            </w: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entre datas de notificação e conclusão da última ação de resposta </w:t>
            </w:r>
            <w:r w:rsidR="00D11737">
              <w:rPr>
                <w:rFonts w:ascii="Arial" w:hAnsi="Arial"/>
                <w:color w:val="000000" w:themeColor="text1"/>
                <w:sz w:val="20"/>
              </w:rPr>
              <w:t>oportuna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6215FB4" w14:textId="4208C4E5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2B1D67F" w14:textId="41E18951" w:rsidR="00405756" w:rsidRDefault="00405756">
      <w:pPr>
        <w:rPr>
          <w:rFonts w:ascii="Arial" w:eastAsia="PublicSans-Thin" w:hAnsi="Arial" w:cs="Arial"/>
          <w:b/>
          <w:color w:val="3BB041"/>
          <w:sz w:val="20"/>
          <w:szCs w:val="18"/>
        </w:rPr>
      </w:pPr>
    </w:p>
    <w:p w14:paraId="1FCF9D1F" w14:textId="6908D41B" w:rsidR="00371085" w:rsidRPr="00FF1604" w:rsidRDefault="00371085" w:rsidP="0028324D">
      <w:pPr>
        <w:pStyle w:val="Heading1"/>
        <w:spacing w:after="240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 xml:space="preserve">Etapa 3. Identificar gargalos e </w:t>
      </w:r>
      <w:r w:rsidR="00D11737">
        <w:rPr>
          <w:rFonts w:ascii="Arial" w:hAnsi="Arial"/>
          <w:b/>
          <w:color w:val="618393"/>
          <w:sz w:val="24"/>
        </w:rPr>
        <w:t xml:space="preserve">facilitadores </w:t>
      </w:r>
    </w:p>
    <w:tbl>
      <w:tblPr>
        <w:tblStyle w:val="TableGrid"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E373BE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F81B84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618393"/>
                <w:sz w:val="20"/>
                <w:szCs w:val="20"/>
              </w:rPr>
            </w:pPr>
            <w:r>
              <w:rPr>
                <w:rFonts w:ascii="Arial" w:hAnsi="Arial"/>
                <w:b/>
                <w:color w:val="618393"/>
                <w:sz w:val="20"/>
              </w:rPr>
              <w:t>Intervalo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F81B84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618393"/>
                <w:sz w:val="20"/>
                <w:szCs w:val="20"/>
              </w:rPr>
            </w:pPr>
            <w:r>
              <w:rPr>
                <w:rFonts w:ascii="Arial" w:hAnsi="Arial"/>
                <w:b/>
                <w:color w:val="618393"/>
                <w:sz w:val="20"/>
              </w:rPr>
              <w:t>Gargalos</w:t>
            </w:r>
          </w:p>
          <w:p w14:paraId="0D8F9EFD" w14:textId="47A9348E" w:rsidR="00371085" w:rsidRPr="00F81B84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618393"/>
                <w:sz w:val="18"/>
                <w:szCs w:val="18"/>
              </w:rPr>
            </w:pPr>
            <w:r>
              <w:rPr>
                <w:rFonts w:ascii="Arial" w:hAnsi="Arial"/>
                <w:color w:val="618393"/>
                <w:sz w:val="18"/>
              </w:rPr>
              <w:t xml:space="preserve">Fatores que impediram uma ação oportuna. </w:t>
            </w:r>
            <w:r>
              <w:rPr>
                <w:rFonts w:ascii="Arial" w:hAnsi="Arial"/>
                <w:color w:val="618393"/>
                <w:sz w:val="18"/>
              </w:rPr>
              <w:br/>
              <w:t xml:space="preserve">Identificar no máximo 3, se aplicável.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59D2F91F" w14:textId="12BE0274" w:rsidR="00371085" w:rsidRPr="00F81B84" w:rsidRDefault="00D11737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618393"/>
                <w:sz w:val="20"/>
                <w:szCs w:val="20"/>
              </w:rPr>
            </w:pPr>
            <w:r>
              <w:rPr>
                <w:rFonts w:ascii="Arial" w:hAnsi="Arial"/>
                <w:b/>
                <w:color w:val="618393"/>
                <w:sz w:val="20"/>
              </w:rPr>
              <w:t>Facilitadores</w:t>
            </w:r>
            <w:r w:rsidR="00371085">
              <w:rPr>
                <w:rFonts w:ascii="Arial" w:hAnsi="Arial"/>
                <w:b/>
                <w:color w:val="618393"/>
                <w:sz w:val="20"/>
              </w:rPr>
              <w:br/>
            </w:r>
            <w:r w:rsidR="00371085">
              <w:rPr>
                <w:rFonts w:ascii="Arial" w:hAnsi="Arial"/>
                <w:color w:val="618393"/>
                <w:sz w:val="18"/>
              </w:rPr>
              <w:t xml:space="preserve">Fatores que possibilitaram a ação oportuna. </w:t>
            </w:r>
            <w:r w:rsidR="00371085">
              <w:rPr>
                <w:rFonts w:ascii="Arial" w:hAnsi="Arial"/>
                <w:color w:val="618393"/>
                <w:sz w:val="18"/>
              </w:rPr>
              <w:br/>
              <w:t>Identificar no máximo 3, se aplicável. Documentar para defesa e para demonstrar o impacto.</w:t>
            </w:r>
          </w:p>
        </w:tc>
      </w:tr>
      <w:tr w:rsidR="00371085" w:rsidRPr="00E373BE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Detecção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71769E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6B22754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AC4B43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4F12C8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CB3B8C2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Notificação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282C5F0D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ED86397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3AED36FA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8A11B75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74F7363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Resposta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F8233F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3F503E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14:paraId="1F825192" w14:textId="77777777" w:rsidR="00AF1B0C" w:rsidRDefault="00AF1B0C">
      <w:pPr>
        <w:rPr>
          <w:rFonts w:ascii="Arial" w:hAnsi="Arial"/>
          <w:b/>
          <w:color w:val="618393"/>
          <w:sz w:val="24"/>
        </w:rPr>
      </w:pPr>
      <w:r>
        <w:rPr>
          <w:rFonts w:ascii="Arial" w:hAnsi="Arial"/>
          <w:b/>
          <w:color w:val="618393"/>
          <w:sz w:val="24"/>
        </w:rPr>
        <w:br w:type="page"/>
      </w:r>
    </w:p>
    <w:p w14:paraId="1F313662" w14:textId="1E70CC2C" w:rsidR="00371085" w:rsidRPr="00A36451" w:rsidRDefault="00371085" w:rsidP="00FF1604">
      <w:pPr>
        <w:rPr>
          <w:rFonts w:ascii="Arial" w:eastAsia="PublicSans-Thin" w:hAnsi="Arial" w:cs="Arial"/>
          <w:b/>
          <w:color w:val="618393"/>
          <w:sz w:val="20"/>
          <w:szCs w:val="20"/>
        </w:rPr>
      </w:pPr>
      <w:r>
        <w:rPr>
          <w:rFonts w:ascii="Arial" w:hAnsi="Arial"/>
          <w:b/>
          <w:color w:val="618393"/>
          <w:sz w:val="24"/>
        </w:rPr>
        <w:lastRenderedPageBreak/>
        <w:t>Etapa 4. Propor ações corretivas para os gargalos</w:t>
      </w:r>
      <w:r>
        <w:t xml:space="preserve"> </w:t>
      </w:r>
      <w:r>
        <w:br/>
      </w:r>
      <w:r>
        <w:br/>
      </w:r>
      <w:r>
        <w:rPr>
          <w:rFonts w:ascii="Arial" w:hAnsi="Arial"/>
          <w:b/>
          <w:color w:val="618393"/>
          <w:sz w:val="20"/>
        </w:rPr>
        <w:t>Ações imediatas</w:t>
      </w:r>
      <w:r>
        <w:t xml:space="preserve"> </w:t>
      </w:r>
      <w:r>
        <w:br/>
      </w:r>
      <w:r>
        <w:rPr>
          <w:rFonts w:ascii="Arial" w:hAnsi="Arial"/>
          <w:color w:val="000000" w:themeColor="text1"/>
          <w:sz w:val="20"/>
        </w:rPr>
        <w:t>Ações para implementação imediata (por exemplo, onde os recursos estão disponíveis ou previstos).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1260"/>
        <w:gridCol w:w="1319"/>
      </w:tblGrid>
      <w:tr w:rsidR="00D22DFE" w:rsidRPr="00D22DFE" w14:paraId="5430E626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E001BFA" w14:textId="15BA91D6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 xml:space="preserve">Ação </w:t>
            </w:r>
            <w:r>
              <w:rPr>
                <w:b/>
                <w:color w:val="FFFFFF" w:themeColor="background1"/>
                <w:sz w:val="20"/>
              </w:rPr>
              <w:br/>
              <w:t>proposta</w:t>
            </w:r>
          </w:p>
        </w:tc>
        <w:tc>
          <w:tcPr>
            <w:tcW w:w="1980" w:type="dxa"/>
          </w:tcPr>
          <w:p w14:paraId="253E1F83" w14:textId="245DA7AF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Gargalo</w:t>
            </w:r>
          </w:p>
          <w:p w14:paraId="5B4BA853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abordado</w:t>
            </w:r>
          </w:p>
        </w:tc>
        <w:tc>
          <w:tcPr>
            <w:tcW w:w="2070" w:type="dxa"/>
          </w:tcPr>
          <w:p w14:paraId="008559CA" w14:textId="6DFD2A71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Autoridade responsável</w:t>
            </w:r>
          </w:p>
        </w:tc>
        <w:tc>
          <w:tcPr>
            <w:tcW w:w="1260" w:type="dxa"/>
          </w:tcPr>
          <w:p w14:paraId="16D2418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Data</w:t>
            </w:r>
            <w:r>
              <w:rPr>
                <w:b/>
                <w:color w:val="FFFFFF" w:themeColor="background1"/>
                <w:sz w:val="20"/>
              </w:rPr>
              <w:br/>
              <w:t>alvo de início</w:t>
            </w:r>
          </w:p>
        </w:tc>
        <w:tc>
          <w:tcPr>
            <w:tcW w:w="1319" w:type="dxa"/>
          </w:tcPr>
          <w:p w14:paraId="1B2777F0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Data</w:t>
            </w:r>
            <w:r>
              <w:rPr>
                <w:b/>
                <w:color w:val="FFFFFF" w:themeColor="background1"/>
                <w:sz w:val="20"/>
              </w:rPr>
              <w:br/>
              <w:t>alvo de fim</w:t>
            </w:r>
          </w:p>
        </w:tc>
      </w:tr>
      <w:tr w:rsidR="00D22DFE" w:rsidRPr="00D22DFE" w14:paraId="725C7C3C" w14:textId="77777777" w:rsidTr="0081211E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72FA2B96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71E012C" w14:textId="77777777" w:rsidR="00690F21" w:rsidRPr="00D22DFE" w:rsidRDefault="00690F21" w:rsidP="00690F21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51FE155" w14:textId="79A9E745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3145D63" w14:textId="2AF63BF2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0F4F5AD6" w14:textId="11CC8013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D22DFE" w14:paraId="45D0C1C1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61170859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F432D27" w14:textId="77777777" w:rsidR="00690F21" w:rsidRPr="00D22DFE" w:rsidRDefault="00690F21" w:rsidP="00690F21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F27F308" w14:textId="061A4CFD" w:rsidR="00690F21" w:rsidRPr="00D22DFE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AA346C8" w14:textId="436679CC" w:rsidR="00690F21" w:rsidRPr="00D22DFE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44DF4E6F" w14:textId="6D5A06E8" w:rsidR="00690F21" w:rsidRPr="00D22DFE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D22DFE" w14:paraId="67A050ED" w14:textId="77777777" w:rsidTr="0081211E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74A5E340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30C4AEB" w14:textId="77777777" w:rsidR="00690F21" w:rsidRPr="00D22DFE" w:rsidRDefault="00690F21" w:rsidP="00690F21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9A2F528" w14:textId="3A08303F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BA3ECEE" w14:textId="4D5B5A81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2AC5216E" w14:textId="31C7E05A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D22DFE" w14:paraId="693BEA67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0C4D7762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2E99191" w14:textId="77777777" w:rsidR="00690F21" w:rsidRPr="00D22DFE" w:rsidRDefault="00690F21" w:rsidP="00690F21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5822C89" w14:textId="672FAC6A" w:rsidR="00690F21" w:rsidRPr="00D22DFE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DF35AD7" w14:textId="44ABE712" w:rsidR="00690F21" w:rsidRPr="00D22DFE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4BF0A021" w14:textId="5BF6B017" w:rsidR="00690F21" w:rsidRPr="00D22DFE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A9C5825" w14:textId="77777777" w:rsidR="00371085" w:rsidRPr="00F3138E" w:rsidRDefault="00371085" w:rsidP="003F503E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14:paraId="1AEE5E68" w14:textId="77777777" w:rsidR="00371085" w:rsidRPr="00405756" w:rsidRDefault="00371085" w:rsidP="00405756">
      <w:pPr>
        <w:spacing w:before="120" w:after="24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>
        <w:rPr>
          <w:rFonts w:ascii="Arial" w:hAnsi="Arial"/>
          <w:b/>
          <w:color w:val="618393"/>
          <w:sz w:val="20"/>
        </w:rPr>
        <w:t>Ações de longo prazo</w:t>
      </w:r>
      <w:r>
        <w:rPr>
          <w:rFonts w:ascii="Arial" w:hAnsi="Arial"/>
          <w:b/>
          <w:color w:val="808080" w:themeColor="background1" w:themeShade="80"/>
          <w:sz w:val="20"/>
        </w:rPr>
        <w:t xml:space="preserve"> </w:t>
      </w:r>
      <w:r>
        <w:rPr>
          <w:color w:val="808080" w:themeColor="background1" w:themeShade="80"/>
          <w:sz w:val="20"/>
        </w:rPr>
        <w:br/>
      </w:r>
      <w:r>
        <w:rPr>
          <w:rFonts w:ascii="Arial" w:hAnsi="Arial"/>
          <w:color w:val="000000" w:themeColor="text1"/>
          <w:sz w:val="20"/>
        </w:rPr>
        <w:t>Ações para planejamento e financiamento de longo prazo (por exemplo, por meio de ciclos de planejamento e orçamento)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D22DFE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5F9CE827" w:rsidR="00371085" w:rsidRPr="00820E04" w:rsidRDefault="00371085" w:rsidP="003F503E">
            <w:pPr>
              <w:spacing w:after="2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 xml:space="preserve">Ação </w:t>
            </w:r>
            <w:r>
              <w:rPr>
                <w:b/>
                <w:color w:val="FFFFFF" w:themeColor="background1"/>
                <w:sz w:val="20"/>
              </w:rPr>
              <w:br/>
              <w:t>proposta</w:t>
            </w:r>
          </w:p>
        </w:tc>
        <w:tc>
          <w:tcPr>
            <w:tcW w:w="1980" w:type="dxa"/>
          </w:tcPr>
          <w:p w14:paraId="6CB226C3" w14:textId="35FF6B9E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Gargalo</w:t>
            </w:r>
          </w:p>
          <w:p w14:paraId="0986010D" w14:textId="77777777" w:rsidR="00371085" w:rsidRPr="00820E04" w:rsidRDefault="00371085" w:rsidP="00AF1B0C">
            <w:pPr>
              <w:spacing w:before="0" w:after="20" w:line="276" w:lineRule="auto"/>
              <w:ind w:left="142" w:right="14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abordado</w:t>
            </w:r>
          </w:p>
        </w:tc>
        <w:tc>
          <w:tcPr>
            <w:tcW w:w="2070" w:type="dxa"/>
          </w:tcPr>
          <w:p w14:paraId="74E30D16" w14:textId="0CA3153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Autoridade</w:t>
            </w:r>
            <w:r>
              <w:rPr>
                <w:b/>
                <w:color w:val="FFFFFF" w:themeColor="background1"/>
                <w:sz w:val="20"/>
              </w:rPr>
              <w:br/>
              <w:t>responsável</w:t>
            </w:r>
          </w:p>
        </w:tc>
        <w:tc>
          <w:tcPr>
            <w:tcW w:w="2588" w:type="dxa"/>
          </w:tcPr>
          <w:p w14:paraId="4579FC21" w14:textId="77777777" w:rsidR="00371085" w:rsidRPr="00820E04" w:rsidRDefault="00371085" w:rsidP="003F503E">
            <w:pPr>
              <w:spacing w:after="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Oportunidades de planejamento e financiamento</w:t>
            </w:r>
            <w:r>
              <w:rPr>
                <w:b/>
                <w:color w:val="FFFFFF" w:themeColor="background1"/>
                <w:sz w:val="20"/>
              </w:rPr>
              <w:br/>
            </w:r>
            <w:r>
              <w:rPr>
                <w:color w:val="FFFFFF" w:themeColor="background1"/>
                <w:sz w:val="18"/>
              </w:rPr>
              <w:t>(por exemplo, incorporar no NAPHS, propostas de financiamento)</w:t>
            </w:r>
          </w:p>
        </w:tc>
      </w:tr>
      <w:tr w:rsidR="00D22DFE" w:rsidRPr="00D22DFE" w14:paraId="351C4FA4" w14:textId="77777777" w:rsidTr="0081211E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690F21" w:rsidRPr="00D22DFE" w:rsidRDefault="00690F21" w:rsidP="00690F21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6985F49" w14:textId="21CE4291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0E8C3D67" w14:textId="36931F63" w:rsidR="00690F21" w:rsidRPr="00D22DFE" w:rsidRDefault="00690F21" w:rsidP="4BF6AD7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D22DFE" w14:paraId="4D470955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690F21" w:rsidRPr="00976A13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690F21" w:rsidRPr="00976A13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690F21" w:rsidRPr="00976A13" w:rsidRDefault="00690F21" w:rsidP="00690F21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181781C" w14:textId="00DC70D9" w:rsidR="00690F21" w:rsidRPr="00976A13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2EE97555" w14:textId="4527DA7D" w:rsidR="00690F21" w:rsidRPr="00976A13" w:rsidRDefault="00690F21" w:rsidP="4BF6AD7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D22DFE" w14:paraId="295AF602" w14:textId="77777777" w:rsidTr="0081211E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690F21" w:rsidRPr="00D22DFE" w:rsidRDefault="00690F21" w:rsidP="00690F21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7F5DC50" w14:textId="23E1E2D7" w:rsidR="00690F21" w:rsidRPr="00D22DFE" w:rsidRDefault="00690F21" w:rsidP="00690F2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1E11BBB6" w14:textId="24F5D483" w:rsidR="00690F21" w:rsidRPr="00D22DFE" w:rsidRDefault="00690F21" w:rsidP="4BF6AD71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DFE" w:rsidRPr="00D22DFE" w14:paraId="3825B1FA" w14:textId="77777777" w:rsidTr="008121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690F21" w:rsidRPr="00D22DFE" w:rsidRDefault="00690F21" w:rsidP="00690F21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690F21" w:rsidRPr="00D22DFE" w:rsidRDefault="00690F21" w:rsidP="00690F21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E4E9ADD" w14:textId="2BC819D1" w:rsidR="00690F21" w:rsidRPr="00D22DFE" w:rsidRDefault="00690F21" w:rsidP="00690F2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88" w:type="dxa"/>
          </w:tcPr>
          <w:p w14:paraId="3897F1D8" w14:textId="05E67D09" w:rsidR="00690F21" w:rsidRPr="00D22DFE" w:rsidRDefault="00690F21" w:rsidP="4BF6AD71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F439C53" w14:textId="77777777" w:rsidR="0081211E" w:rsidRPr="006E5638" w:rsidRDefault="0081211E" w:rsidP="00AF1B0C">
      <w:pPr>
        <w:spacing w:after="20" w:line="276" w:lineRule="auto"/>
        <w:rPr>
          <w:rFonts w:ascii="Arial" w:hAnsi="Arial" w:cs="Arial"/>
        </w:rPr>
      </w:pPr>
    </w:p>
    <w:sectPr w:rsidR="0081211E" w:rsidRPr="006E5638" w:rsidSect="00512C2D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7CA0B" w14:textId="77777777" w:rsidR="00FD4D22" w:rsidRDefault="00FD4D22" w:rsidP="00D33AFB">
      <w:pPr>
        <w:spacing w:after="0" w:line="240" w:lineRule="auto"/>
      </w:pPr>
      <w:r>
        <w:separator/>
      </w:r>
    </w:p>
  </w:endnote>
  <w:endnote w:type="continuationSeparator" w:id="0">
    <w:p w14:paraId="56CD0E4F" w14:textId="77777777" w:rsidR="00FD4D22" w:rsidRDefault="00FD4D22" w:rsidP="00D33AFB">
      <w:pPr>
        <w:spacing w:after="0" w:line="240" w:lineRule="auto"/>
      </w:pPr>
      <w:r>
        <w:continuationSeparator/>
      </w:r>
    </w:p>
  </w:endnote>
  <w:endnote w:type="continuationNotice" w:id="1">
    <w:p w14:paraId="1944B12B" w14:textId="77777777" w:rsidR="00FD4D22" w:rsidRDefault="00FD4D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rFonts w:ascii="Arial" w:hAnsi="Arial" w:cs="Arial"/>
        <w:sz w:val="14"/>
        <w:szCs w:val="14"/>
      </w:rPr>
      <w:id w:val="1753924969"/>
      <w:docPartObj>
        <w:docPartGallery w:val="Page Numbers (Bottom of Page)"/>
        <w:docPartUnique/>
      </w:docPartObj>
    </w:sdtPr>
    <w:sdtContent>
      <w:p w14:paraId="02D393B4" w14:textId="3E131A48" w:rsidR="002524A5" w:rsidRPr="00F10719" w:rsidRDefault="002524A5" w:rsidP="0021025E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14"/>
            <w:szCs w:val="14"/>
          </w:rPr>
        </w:pPr>
        <w:r w:rsidRPr="00F10719">
          <w:rPr>
            <w:rStyle w:val="PageNumber"/>
            <w:rFonts w:ascii="Arial" w:hAnsi="Arial" w:cs="Arial"/>
            <w:sz w:val="14"/>
          </w:rPr>
          <w:fldChar w:fldCharType="begin"/>
        </w:r>
        <w:r w:rsidRPr="00F10719">
          <w:rPr>
            <w:rStyle w:val="PageNumber"/>
            <w:rFonts w:ascii="Arial" w:hAnsi="Arial" w:cs="Arial"/>
            <w:sz w:val="14"/>
          </w:rPr>
          <w:instrText xml:space="preserve"> PAGE </w:instrText>
        </w:r>
        <w:r w:rsidRPr="00F10719">
          <w:rPr>
            <w:rStyle w:val="PageNumber"/>
            <w:rFonts w:ascii="Arial" w:hAnsi="Arial" w:cs="Arial"/>
            <w:sz w:val="14"/>
          </w:rPr>
          <w:fldChar w:fldCharType="separate"/>
        </w:r>
        <w:r w:rsidRPr="00F10719">
          <w:rPr>
            <w:rStyle w:val="PageNumber"/>
            <w:rFonts w:ascii="Arial" w:hAnsi="Arial" w:cs="Arial"/>
            <w:sz w:val="14"/>
          </w:rPr>
          <w:t>2</w:t>
        </w:r>
        <w:r w:rsidRPr="00F10719">
          <w:rPr>
            <w:rStyle w:val="PageNumber"/>
            <w:rFonts w:ascii="Arial" w:hAnsi="Arial" w:cs="Arial"/>
            <w:sz w:val="14"/>
          </w:rPr>
          <w:fldChar w:fldCharType="end"/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6DD38" w14:textId="0018505D" w:rsidR="0015119D" w:rsidRPr="0085198B" w:rsidRDefault="0015119D" w:rsidP="0015119D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</w:rPr>
      <w:t xml:space="preserve">v2 </w:t>
    </w:r>
    <w:r w:rsidR="000025CB">
      <w:rPr>
        <w:color w:val="808080" w:themeColor="background1" w:themeShade="80"/>
        <w:sz w:val="10"/>
      </w:rPr>
      <w:t>03</w:t>
    </w:r>
    <w:r>
      <w:rPr>
        <w:color w:val="808080" w:themeColor="background1" w:themeShade="80"/>
        <w:sz w:val="10"/>
      </w:rPr>
      <w:t>/202</w:t>
    </w:r>
    <w:r w:rsidR="000025CB">
      <w:rPr>
        <w:color w:val="808080" w:themeColor="background1" w:themeShade="80"/>
        <w:sz w:val="10"/>
      </w:rPr>
      <w:t>5</w:t>
    </w:r>
  </w:p>
  <w:p w14:paraId="172A6A98" w14:textId="77777777" w:rsidR="0015119D" w:rsidRDefault="00151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ED729" w14:textId="77777777" w:rsidR="00FD4D22" w:rsidRDefault="00FD4D22" w:rsidP="00D33AFB">
      <w:pPr>
        <w:spacing w:after="0" w:line="240" w:lineRule="auto"/>
      </w:pPr>
      <w:r>
        <w:separator/>
      </w:r>
    </w:p>
  </w:footnote>
  <w:footnote w:type="continuationSeparator" w:id="0">
    <w:p w14:paraId="263D8D39" w14:textId="77777777" w:rsidR="00FD4D22" w:rsidRDefault="00FD4D22" w:rsidP="00D33AFB">
      <w:pPr>
        <w:spacing w:after="0" w:line="240" w:lineRule="auto"/>
      </w:pPr>
      <w:r>
        <w:continuationSeparator/>
      </w:r>
    </w:p>
  </w:footnote>
  <w:footnote w:type="continuationNotice" w:id="1">
    <w:p w14:paraId="47FE031C" w14:textId="77777777" w:rsidR="00FD4D22" w:rsidRDefault="00FD4D22">
      <w:pPr>
        <w:spacing w:after="0" w:line="240" w:lineRule="auto"/>
      </w:pPr>
    </w:p>
  </w:footnote>
  <w:footnote w:id="2">
    <w:p w14:paraId="4322D0F8" w14:textId="5604946B" w:rsidR="0013712D" w:rsidRPr="00663FF8" w:rsidRDefault="0013712D" w:rsidP="000A7BFC">
      <w:pPr>
        <w:widowControl w:val="0"/>
        <w:autoSpaceDE w:val="0"/>
        <w:autoSpaceDN w:val="0"/>
        <w:spacing w:after="0" w:line="288" w:lineRule="auto"/>
        <w:ind w:right="-466"/>
        <w:outlineLvl w:val="2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Consulte o </w:t>
      </w:r>
      <w:hyperlink r:id="rId1" w:tgtFrame="_blank" w:tooltip="https://717alliance.org/resources/7-1-7-milestone-dates-reference-guide/" w:history="1">
        <w:r>
          <w:rPr>
            <w:rStyle w:val="Hyperlink"/>
            <w:rFonts w:ascii="Arial" w:hAnsi="Arial"/>
            <w:b/>
            <w:sz w:val="14"/>
          </w:rPr>
          <w:t>Guia de Referência de Datas de Marcos do 7-1-7</w:t>
        </w:r>
      </w:hyperlink>
      <w:r>
        <w:rPr>
          <w:rFonts w:ascii="Arial" w:hAnsi="Arial"/>
          <w:sz w:val="14"/>
        </w:rPr>
        <w:t xml:space="preserve"> para mais detalhes: https://717alliance.org/resources/7-1-7-milestone-dates-reference-guide/.</w:t>
      </w:r>
    </w:p>
  </w:footnote>
  <w:footnote w:id="3">
    <w:p w14:paraId="58B8B1AD" w14:textId="540D191D" w:rsidR="00276DE0" w:rsidRPr="00663FF8" w:rsidRDefault="00276DE0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A data de surgimento pode mudar à medida que os dados são atualizados durante a investigação epidemiológica</w:t>
      </w:r>
    </w:p>
  </w:footnote>
  <w:footnote w:id="4">
    <w:p w14:paraId="60E29856" w14:textId="5687CC89" w:rsidR="00F37AC1" w:rsidRPr="00663FF8" w:rsidRDefault="00F37AC1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Sachês de SRO, agentes antimicrobianos, tratamento de água, sabão, repelentes de insetos, mosquiteiros, EPI), início de medidas sociais e de saúde pública (por exemplo, uso de máscaras, restrições de viagens, quarentena, recall de alimentos, aviso de fervura de água)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 xml:space="preserve">Ferramenta de avaliação 7-1-7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025CB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A7BFC"/>
    <w:rsid w:val="000B2EA0"/>
    <w:rsid w:val="000B3840"/>
    <w:rsid w:val="000B50BD"/>
    <w:rsid w:val="000C5E17"/>
    <w:rsid w:val="000D088A"/>
    <w:rsid w:val="000D223B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7603"/>
    <w:rsid w:val="00147860"/>
    <w:rsid w:val="0015119D"/>
    <w:rsid w:val="00151A72"/>
    <w:rsid w:val="00154911"/>
    <w:rsid w:val="00161C23"/>
    <w:rsid w:val="001669F6"/>
    <w:rsid w:val="00166F53"/>
    <w:rsid w:val="001743B0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1AD"/>
    <w:rsid w:val="002A752B"/>
    <w:rsid w:val="002B2181"/>
    <w:rsid w:val="002B4AE8"/>
    <w:rsid w:val="002B784D"/>
    <w:rsid w:val="002C1D27"/>
    <w:rsid w:val="002C3C13"/>
    <w:rsid w:val="002C5054"/>
    <w:rsid w:val="002D6AB4"/>
    <w:rsid w:val="002D6EEF"/>
    <w:rsid w:val="002E0630"/>
    <w:rsid w:val="002E0E7B"/>
    <w:rsid w:val="002E2911"/>
    <w:rsid w:val="002E2C5C"/>
    <w:rsid w:val="002E7041"/>
    <w:rsid w:val="002F3A4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D4AE6"/>
    <w:rsid w:val="003D710D"/>
    <w:rsid w:val="003D73E2"/>
    <w:rsid w:val="003D7ADE"/>
    <w:rsid w:val="003E1E25"/>
    <w:rsid w:val="003E3B33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2E7A"/>
    <w:rsid w:val="00543B18"/>
    <w:rsid w:val="005468B1"/>
    <w:rsid w:val="00547CCF"/>
    <w:rsid w:val="00552FEA"/>
    <w:rsid w:val="00555383"/>
    <w:rsid w:val="005558CD"/>
    <w:rsid w:val="00556E62"/>
    <w:rsid w:val="005604AD"/>
    <w:rsid w:val="00564B11"/>
    <w:rsid w:val="00564DE4"/>
    <w:rsid w:val="00564E5F"/>
    <w:rsid w:val="005665A7"/>
    <w:rsid w:val="005667E5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3FF8"/>
    <w:rsid w:val="00666545"/>
    <w:rsid w:val="00667103"/>
    <w:rsid w:val="00667928"/>
    <w:rsid w:val="00672BD7"/>
    <w:rsid w:val="00676BA0"/>
    <w:rsid w:val="00676E03"/>
    <w:rsid w:val="0068009D"/>
    <w:rsid w:val="00680E3C"/>
    <w:rsid w:val="00684623"/>
    <w:rsid w:val="00690F21"/>
    <w:rsid w:val="00695857"/>
    <w:rsid w:val="00695D92"/>
    <w:rsid w:val="00696033"/>
    <w:rsid w:val="00696197"/>
    <w:rsid w:val="00697178"/>
    <w:rsid w:val="006A0E63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192A"/>
    <w:rsid w:val="006F3DBF"/>
    <w:rsid w:val="006F55A3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030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96D"/>
    <w:rsid w:val="007905A6"/>
    <w:rsid w:val="00794402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55E6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2503B"/>
    <w:rsid w:val="00831482"/>
    <w:rsid w:val="0083431A"/>
    <w:rsid w:val="00834472"/>
    <w:rsid w:val="00836AAC"/>
    <w:rsid w:val="00837E70"/>
    <w:rsid w:val="008424C5"/>
    <w:rsid w:val="0084330B"/>
    <w:rsid w:val="00854E9A"/>
    <w:rsid w:val="008550E9"/>
    <w:rsid w:val="008560D4"/>
    <w:rsid w:val="00856357"/>
    <w:rsid w:val="00856DF3"/>
    <w:rsid w:val="00857CB4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036B"/>
    <w:rsid w:val="00915F47"/>
    <w:rsid w:val="00916E79"/>
    <w:rsid w:val="00923BD3"/>
    <w:rsid w:val="009252E0"/>
    <w:rsid w:val="009303F9"/>
    <w:rsid w:val="00930B04"/>
    <w:rsid w:val="00933EC0"/>
    <w:rsid w:val="00934499"/>
    <w:rsid w:val="0093789A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6451"/>
    <w:rsid w:val="00A40D1F"/>
    <w:rsid w:val="00A4283A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1B0C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F93"/>
    <w:rsid w:val="00B74BB7"/>
    <w:rsid w:val="00B809A3"/>
    <w:rsid w:val="00B832D1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1A9C"/>
    <w:rsid w:val="00BD392C"/>
    <w:rsid w:val="00BD56EB"/>
    <w:rsid w:val="00BD7C22"/>
    <w:rsid w:val="00BE1EFB"/>
    <w:rsid w:val="00BE367A"/>
    <w:rsid w:val="00BE563B"/>
    <w:rsid w:val="00BE670F"/>
    <w:rsid w:val="00BE6800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1737"/>
    <w:rsid w:val="00D12226"/>
    <w:rsid w:val="00D140CD"/>
    <w:rsid w:val="00D16271"/>
    <w:rsid w:val="00D168EC"/>
    <w:rsid w:val="00D22479"/>
    <w:rsid w:val="00D22DFE"/>
    <w:rsid w:val="00D30524"/>
    <w:rsid w:val="00D33AFB"/>
    <w:rsid w:val="00D36F15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3C62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5680"/>
    <w:rsid w:val="00ED667B"/>
    <w:rsid w:val="00ED75C9"/>
    <w:rsid w:val="00EE1C4D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4F62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4D22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6D081D9"/>
    <w:rsid w:val="07EF2A21"/>
    <w:rsid w:val="0B8B36B5"/>
    <w:rsid w:val="0CB5EC27"/>
    <w:rsid w:val="1524F19A"/>
    <w:rsid w:val="159D73F2"/>
    <w:rsid w:val="1731C0DB"/>
    <w:rsid w:val="1E7EB4AC"/>
    <w:rsid w:val="228ACD7D"/>
    <w:rsid w:val="236ACB8B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890FEE"/>
    <w:rsid w:val="4BF6AD71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guia-de-referencia-de-datas-dos-marcos-do-7-1-7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c5613cd5-748e-412e-9a2f-bebdac0f41fd"/>
    <ds:schemaRef ds:uri="d278d6d4-1e95-49d0-ad8b-8a60c47dc760"/>
  </ds:schemaRefs>
</ds:datastoreItem>
</file>

<file path=customXml/itemProps2.xml><?xml version="1.0" encoding="utf-8"?>
<ds:datastoreItem xmlns:ds="http://schemas.openxmlformats.org/officeDocument/2006/customXml" ds:itemID="{D4B01D38-6F34-4038-89B1-D6C484A81F34}"/>
</file>

<file path=customXml/itemProps3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658</Words>
  <Characters>3756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4406</CharactersWithSpaces>
  <SharedDoc>false</SharedDoc>
  <HLinks>
    <vt:vector size="24" baseType="variant">
      <vt:variant>
        <vt:i4>4456462</vt:i4>
      </vt:variant>
      <vt:variant>
        <vt:i4>0</vt:i4>
      </vt:variant>
      <vt:variant>
        <vt:i4>0</vt:i4>
      </vt:variant>
      <vt:variant>
        <vt:i4>5</vt:i4>
      </vt:variant>
      <vt:variant>
        <vt:lpwstr>https://717alliance.org/resources/7-1-7-milestone-dates-reference-guide/</vt:lpwstr>
      </vt:variant>
      <vt:variant>
        <vt:lpwstr/>
      </vt:variant>
      <vt:variant>
        <vt:i4>6029382</vt:i4>
      </vt:variant>
      <vt:variant>
        <vt:i4>5</vt:i4>
      </vt:variant>
      <vt:variant>
        <vt:i4>0</vt:i4>
      </vt:variant>
      <vt:variant>
        <vt:i4>5</vt:i4>
      </vt:variant>
      <vt:variant>
        <vt:lpwstr>https://717alliance.org/</vt:lpwstr>
      </vt:variant>
      <vt:variant>
        <vt:lpwstr/>
      </vt:variant>
      <vt:variant>
        <vt:i4>2752540</vt:i4>
      </vt:variant>
      <vt:variant>
        <vt:i4>3</vt:i4>
      </vt:variant>
      <vt:variant>
        <vt:i4>0</vt:i4>
      </vt:variant>
      <vt:variant>
        <vt:i4>5</vt:i4>
      </vt:variant>
      <vt:variant>
        <vt:lpwstr>mailto:mdeveaux@rtsl.org</vt:lpwstr>
      </vt:variant>
      <vt:variant>
        <vt:lpwstr/>
      </vt:variant>
      <vt:variant>
        <vt:i4>5963892</vt:i4>
      </vt:variant>
      <vt:variant>
        <vt:i4>0</vt:i4>
      </vt:variant>
      <vt:variant>
        <vt:i4>0</vt:i4>
      </vt:variant>
      <vt:variant>
        <vt:i4>5</vt:i4>
      </vt:variant>
      <vt:variant>
        <vt:lpwstr>mailto:lbrown@rtsl.org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Marie Deveaux</cp:lastModifiedBy>
  <cp:revision>3</cp:revision>
  <cp:lastPrinted>2023-09-04T04:54:00Z</cp:lastPrinted>
  <dcterms:created xsi:type="dcterms:W3CDTF">2025-03-26T13:45:00Z</dcterms:created>
  <dcterms:modified xsi:type="dcterms:W3CDTF">2025-03-26T13:55:00Z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  <property fmtid="{D5CDD505-2E9C-101B-9397-08002B2CF9AE}" pid="19" name="_dlc_DocIdItemGuid">
    <vt:lpwstr>6beac8d9-1a5f-4487-9c3a-ad9fcb7986a4</vt:lpwstr>
  </property>
</Properties>
</file>